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2E9A" w14:textId="28D76E9A" w:rsidR="00F5745D" w:rsidRDefault="00F5745D" w:rsidP="00F5745D">
      <w:pPr>
        <w:wordWrap w:val="0"/>
        <w:jc w:val="right"/>
        <w:rPr>
          <w:rFonts w:ascii="Times New Roman" w:eastAsia="黑体" w:hAnsi="Times New Roman" w:cs="Times New Roman"/>
          <w:sz w:val="21"/>
          <w:szCs w:val="21"/>
        </w:rPr>
      </w:pPr>
      <w:bookmarkStart w:id="0" w:name="_Hlk65584304"/>
      <w:bookmarkStart w:id="1" w:name="bookmark0"/>
      <w:r>
        <w:rPr>
          <w:rFonts w:ascii="Times New Roman" w:eastAsia="黑体" w:hAnsi="Times New Roman" w:cs="Times New Roman"/>
          <w:sz w:val="21"/>
          <w:szCs w:val="21"/>
          <w:lang w:bidi="ar"/>
        </w:rPr>
        <w:t>[</w:t>
      </w:r>
      <w:r w:rsidR="000F1B04">
        <w:rPr>
          <w:rFonts w:ascii="Times New Roman" w:eastAsia="黑体" w:hAnsi="Times New Roman" w:cs="Times New Roman" w:hint="eastAsia"/>
          <w:sz w:val="21"/>
          <w:szCs w:val="21"/>
          <w:lang w:bidi="ar"/>
        </w:rPr>
        <w:t>办理结果标注（</w:t>
      </w:r>
      <w:r w:rsidR="000F1B04">
        <w:rPr>
          <w:rFonts w:ascii="黑体" w:eastAsia="黑体" w:hAnsi="宋体" w:cs="黑体" w:hint="eastAsia"/>
          <w:sz w:val="21"/>
          <w:szCs w:val="21"/>
          <w:lang w:bidi="ar"/>
        </w:rPr>
        <w:t>A</w:t>
      </w:r>
      <w:r w:rsidR="000F1B04">
        <w:rPr>
          <w:rFonts w:ascii="黑体" w:eastAsia="黑体" w:hAnsi="宋体" w:cs="黑体"/>
          <w:sz w:val="21"/>
          <w:szCs w:val="21"/>
          <w:lang w:bidi="ar"/>
        </w:rPr>
        <w:t>3</w:t>
      </w:r>
      <w:r w:rsidR="000F1B04">
        <w:rPr>
          <w:rFonts w:ascii="Times New Roman" w:eastAsia="黑体" w:hAnsi="Times New Roman" w:cs="Times New Roman" w:hint="eastAsia"/>
          <w:sz w:val="21"/>
          <w:szCs w:val="21"/>
          <w:lang w:bidi="ar"/>
        </w:rPr>
        <w:t>）</w:t>
      </w:r>
      <w:r>
        <w:rPr>
          <w:rFonts w:ascii="Times New Roman" w:eastAsia="黑体" w:hAnsi="Times New Roman" w:cs="Times New Roman"/>
          <w:sz w:val="21"/>
          <w:szCs w:val="21"/>
          <w:lang w:bidi="ar"/>
        </w:rPr>
        <w:t>]</w:t>
      </w:r>
    </w:p>
    <w:p w14:paraId="0BF256B7" w14:textId="4F04DB0B" w:rsidR="00F5745D" w:rsidRDefault="00F5745D" w:rsidP="00F5745D">
      <w:pPr>
        <w:jc w:val="right"/>
        <w:rPr>
          <w:rFonts w:ascii="Times New Roman" w:eastAsia="黑体" w:hAnsi="Times New Roman" w:cs="Times New Roman"/>
          <w:sz w:val="21"/>
          <w:szCs w:val="21"/>
        </w:rPr>
      </w:pPr>
      <w:r>
        <w:rPr>
          <w:rFonts w:ascii="Times New Roman" w:eastAsia="黑体" w:hAnsi="Times New Roman" w:cs="Times New Roman"/>
          <w:sz w:val="21"/>
          <w:szCs w:val="21"/>
          <w:lang w:bidi="ar"/>
        </w:rPr>
        <w:t>[</w:t>
      </w:r>
      <w:r w:rsidR="000F1B04">
        <w:rPr>
          <w:rFonts w:ascii="Times New Roman" w:eastAsia="黑体" w:hAnsi="Times New Roman" w:cs="Times New Roman" w:hint="eastAsia"/>
          <w:sz w:val="21"/>
          <w:szCs w:val="21"/>
          <w:lang w:bidi="ar"/>
        </w:rPr>
        <w:t>是否同意公开（</w:t>
      </w:r>
      <w:r w:rsidR="000F1B04">
        <w:rPr>
          <w:rFonts w:ascii="黑体" w:eastAsia="黑体" w:hAnsi="宋体" w:cs="黑体" w:hint="eastAsia"/>
          <w:sz w:val="21"/>
          <w:szCs w:val="21"/>
          <w:lang w:bidi="ar"/>
        </w:rPr>
        <w:t>否</w:t>
      </w:r>
      <w:r w:rsidR="000F1B04">
        <w:rPr>
          <w:rFonts w:ascii="Times New Roman" w:eastAsia="黑体" w:hAnsi="Times New Roman" w:cs="Times New Roman" w:hint="eastAsia"/>
          <w:sz w:val="21"/>
          <w:szCs w:val="21"/>
          <w:lang w:bidi="ar"/>
        </w:rPr>
        <w:t>）</w:t>
      </w:r>
      <w:r>
        <w:rPr>
          <w:rFonts w:ascii="Times New Roman" w:eastAsia="黑体" w:hAnsi="Times New Roman" w:cs="Times New Roman"/>
          <w:sz w:val="21"/>
          <w:szCs w:val="21"/>
          <w:lang w:bidi="ar"/>
        </w:rPr>
        <w:t>]</w:t>
      </w:r>
    </w:p>
    <w:bookmarkEnd w:id="0"/>
    <w:p w14:paraId="745E762A" w14:textId="3AD376F1" w:rsidR="00655C15" w:rsidRPr="005D79D9" w:rsidRDefault="00655C15" w:rsidP="00655C15">
      <w:pPr>
        <w:rPr>
          <w:b/>
          <w:color w:val="FF0000"/>
          <w:sz w:val="68"/>
          <w:szCs w:val="68"/>
        </w:rPr>
      </w:pPr>
      <w:r>
        <w:rPr>
          <w:b/>
          <w:noProof/>
          <w:color w:val="FF0000"/>
          <w:sz w:val="68"/>
          <w:szCs w:val="68"/>
        </w:rPr>
        <mc:AlternateContent>
          <mc:Choice Requires="wpc">
            <w:drawing>
              <wp:inline distT="0" distB="0" distL="0" distR="0" wp14:anchorId="12FC65A2" wp14:editId="2C1B0472">
                <wp:extent cx="5600700" cy="157162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0157C91A" id="画布 2" o:spid="_x0000_s1026" editas="canvas" style="width:441pt;height:123.75pt;mso-position-horizontal-relative:char;mso-position-vertical-relative:line" coordsize="56007,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15716;visibility:visible;mso-wrap-style:square">
                  <v:fill o:detectmouseclick="t"/>
                  <v:path o:connecttype="none"/>
                </v:shape>
                <w10:anchorlock/>
              </v:group>
            </w:pict>
          </mc:Fallback>
        </mc:AlternateContent>
      </w:r>
    </w:p>
    <w:p w14:paraId="66E80FE8" w14:textId="77777777" w:rsidR="00655C15" w:rsidRDefault="00655C15" w:rsidP="00655C15">
      <w:pPr>
        <w:rPr>
          <w:szCs w:val="32"/>
        </w:rPr>
      </w:pPr>
    </w:p>
    <w:p w14:paraId="6FB731C9" w14:textId="15973BAF" w:rsidR="00655C15" w:rsidRPr="00ED7E22" w:rsidRDefault="00655C15" w:rsidP="000F1B04">
      <w:pPr>
        <w:jc w:val="left"/>
        <w:rPr>
          <w:rFonts w:hAnsi="仿宋"/>
          <w:sz w:val="28"/>
          <w:szCs w:val="28"/>
        </w:rPr>
      </w:pPr>
      <w:r>
        <w:rPr>
          <w:rFonts w:hAnsi="仿宋" w:hint="eastAsia"/>
          <w:noProof/>
          <w:szCs w:val="32"/>
        </w:rPr>
        <w:t>提案主办</w:t>
      </w:r>
      <w:r w:rsidRPr="00ED7E22">
        <w:rPr>
          <w:rFonts w:hAnsi="仿宋" w:hint="eastAsia"/>
          <w:szCs w:val="32"/>
        </w:rPr>
        <w:t>〔</w:t>
      </w:r>
      <w:r>
        <w:rPr>
          <w:rFonts w:hAnsi="仿宋" w:hint="eastAsia"/>
          <w:szCs w:val="32"/>
        </w:rPr>
        <w:t>202</w:t>
      </w:r>
      <w:r>
        <w:rPr>
          <w:rFonts w:hAnsi="仿宋"/>
          <w:szCs w:val="32"/>
        </w:rPr>
        <w:t>1</w:t>
      </w:r>
      <w:r w:rsidRPr="00ED7E22">
        <w:rPr>
          <w:rFonts w:hAnsi="仿宋" w:hint="eastAsia"/>
          <w:szCs w:val="32"/>
        </w:rPr>
        <w:t>〕</w:t>
      </w:r>
      <w:r>
        <w:rPr>
          <w:rFonts w:hAnsi="仿宋"/>
          <w:szCs w:val="32"/>
        </w:rPr>
        <w:t>1</w:t>
      </w:r>
      <w:r w:rsidRPr="00ED7E22">
        <w:rPr>
          <w:rFonts w:hAnsi="仿宋" w:hint="eastAsia"/>
          <w:szCs w:val="32"/>
        </w:rPr>
        <w:t>号</w:t>
      </w:r>
      <w:r>
        <w:rPr>
          <w:rFonts w:hAnsi="仿宋" w:hint="eastAsia"/>
          <w:szCs w:val="32"/>
        </w:rPr>
        <w:t xml:space="preserve"> </w:t>
      </w:r>
      <w:r>
        <w:rPr>
          <w:rFonts w:hAnsi="仿宋"/>
          <w:szCs w:val="32"/>
        </w:rPr>
        <w:t xml:space="preserve">  </w:t>
      </w:r>
      <w:r w:rsidR="000F1B04">
        <w:rPr>
          <w:rFonts w:hAnsi="仿宋"/>
          <w:szCs w:val="32"/>
        </w:rPr>
        <w:t xml:space="preserve">               </w:t>
      </w:r>
      <w:r>
        <w:rPr>
          <w:rFonts w:hAnsi="仿宋" w:hint="eastAsia"/>
          <w:szCs w:val="32"/>
        </w:rPr>
        <w:t>签发人：</w:t>
      </w:r>
      <w:r w:rsidR="00D325D8">
        <w:rPr>
          <w:rFonts w:hAnsi="仿宋" w:hint="eastAsia"/>
          <w:szCs w:val="32"/>
        </w:rPr>
        <w:t>唐庆业</w:t>
      </w:r>
    </w:p>
    <w:bookmarkEnd w:id="1"/>
    <w:p w14:paraId="2628AE4F" w14:textId="77777777" w:rsidR="00655C15" w:rsidRDefault="00655C15" w:rsidP="00510F9B">
      <w:pPr>
        <w:jc w:val="center"/>
        <w:rPr>
          <w:rFonts w:asciiTheme="majorEastAsia" w:eastAsiaTheme="majorEastAsia" w:hAnsiTheme="majorEastAsia"/>
          <w:b/>
          <w:sz w:val="44"/>
          <w:szCs w:val="44"/>
        </w:rPr>
      </w:pPr>
    </w:p>
    <w:p w14:paraId="43C86E44" w14:textId="2BCE5892" w:rsidR="006D7852" w:rsidRPr="00510F9B" w:rsidRDefault="0028384C" w:rsidP="00510F9B">
      <w:pPr>
        <w:jc w:val="center"/>
        <w:rPr>
          <w:rFonts w:asciiTheme="majorEastAsia" w:eastAsiaTheme="majorEastAsia" w:hAnsiTheme="majorEastAsia"/>
          <w:b/>
          <w:sz w:val="44"/>
          <w:szCs w:val="44"/>
        </w:rPr>
      </w:pPr>
      <w:r w:rsidRPr="00510F9B">
        <w:rPr>
          <w:rFonts w:asciiTheme="majorEastAsia" w:eastAsiaTheme="majorEastAsia" w:hAnsiTheme="majorEastAsia" w:hint="eastAsia"/>
          <w:b/>
          <w:sz w:val="44"/>
          <w:szCs w:val="44"/>
        </w:rPr>
        <w:t>对市政协</w:t>
      </w:r>
      <w:r w:rsidR="00B549DA">
        <w:rPr>
          <w:rFonts w:asciiTheme="majorEastAsia" w:eastAsiaTheme="majorEastAsia" w:hAnsiTheme="majorEastAsia" w:hint="eastAsia"/>
          <w:b/>
          <w:sz w:val="44"/>
          <w:szCs w:val="44"/>
        </w:rPr>
        <w:t>十三</w:t>
      </w:r>
      <w:r w:rsidRPr="00510F9B">
        <w:rPr>
          <w:rFonts w:asciiTheme="majorEastAsia" w:eastAsiaTheme="majorEastAsia" w:hAnsiTheme="majorEastAsia" w:hint="eastAsia"/>
          <w:b/>
          <w:sz w:val="44"/>
          <w:szCs w:val="44"/>
        </w:rPr>
        <w:t>届</w:t>
      </w:r>
      <w:r w:rsidR="00B549DA">
        <w:rPr>
          <w:rFonts w:asciiTheme="majorEastAsia" w:eastAsiaTheme="majorEastAsia" w:hAnsiTheme="majorEastAsia" w:hint="eastAsia"/>
          <w:b/>
          <w:sz w:val="44"/>
          <w:szCs w:val="44"/>
        </w:rPr>
        <w:t>四</w:t>
      </w:r>
      <w:r w:rsidRPr="00510F9B">
        <w:rPr>
          <w:rFonts w:asciiTheme="majorEastAsia" w:eastAsiaTheme="majorEastAsia" w:hAnsiTheme="majorEastAsia" w:hint="eastAsia"/>
          <w:b/>
          <w:sz w:val="44"/>
          <w:szCs w:val="44"/>
        </w:rPr>
        <w:t>次会议第</w:t>
      </w:r>
      <w:r w:rsidR="00B549DA">
        <w:rPr>
          <w:rFonts w:asciiTheme="majorEastAsia" w:eastAsiaTheme="majorEastAsia" w:hAnsiTheme="majorEastAsia"/>
          <w:b/>
          <w:sz w:val="44"/>
          <w:szCs w:val="44"/>
        </w:rPr>
        <w:t>109</w:t>
      </w:r>
      <w:r w:rsidRPr="00510F9B">
        <w:rPr>
          <w:rFonts w:asciiTheme="majorEastAsia" w:eastAsiaTheme="majorEastAsia" w:hAnsiTheme="majorEastAsia" w:hint="eastAsia"/>
          <w:b/>
          <w:sz w:val="44"/>
          <w:szCs w:val="44"/>
        </w:rPr>
        <w:t>号提案《关于加强建设食品安全监管保障体系》的答复</w:t>
      </w:r>
    </w:p>
    <w:p w14:paraId="260304BA" w14:textId="77777777" w:rsidR="00510F9B" w:rsidRDefault="00510F9B"/>
    <w:p w14:paraId="7BC77740" w14:textId="09BA011B" w:rsidR="0028384C" w:rsidRDefault="00D8067D" w:rsidP="00725320">
      <w:pPr>
        <w:spacing w:before="100" w:beforeAutospacing="1" w:after="100" w:afterAutospacing="1"/>
      </w:pPr>
      <w:r>
        <w:rPr>
          <w:rFonts w:hint="eastAsia"/>
        </w:rPr>
        <w:t>唐昊</w:t>
      </w:r>
      <w:r w:rsidR="0028384C">
        <w:rPr>
          <w:rFonts w:hint="eastAsia"/>
        </w:rPr>
        <w:t>委员：</w:t>
      </w:r>
    </w:p>
    <w:p w14:paraId="33B0EA70" w14:textId="11257766" w:rsidR="000864A1" w:rsidRDefault="0028384C" w:rsidP="00725320">
      <w:pPr>
        <w:spacing w:before="100" w:beforeAutospacing="1" w:after="100" w:afterAutospacing="1"/>
        <w:ind w:firstLineChars="200" w:firstLine="640"/>
      </w:pPr>
      <w:r>
        <w:rPr>
          <w:rFonts w:hint="eastAsia"/>
        </w:rPr>
        <w:t>您提出的《关于加强建设食品安全监管保障体系》</w:t>
      </w:r>
      <w:r w:rsidR="00510F9B">
        <w:rPr>
          <w:rFonts w:hint="eastAsia"/>
        </w:rPr>
        <w:t>的</w:t>
      </w:r>
      <w:r w:rsidR="00B549DA">
        <w:rPr>
          <w:rFonts w:hint="eastAsia"/>
        </w:rPr>
        <w:t>提案</w:t>
      </w:r>
      <w:r w:rsidR="00510F9B">
        <w:rPr>
          <w:rFonts w:hint="eastAsia"/>
        </w:rPr>
        <w:t>已</w:t>
      </w:r>
      <w:r>
        <w:rPr>
          <w:rFonts w:hint="eastAsia"/>
        </w:rPr>
        <w:t>收悉，感谢</w:t>
      </w:r>
      <w:r w:rsidR="00B549DA">
        <w:rPr>
          <w:rFonts w:hint="eastAsia"/>
        </w:rPr>
        <w:t>您</w:t>
      </w:r>
      <w:r>
        <w:rPr>
          <w:rFonts w:hint="eastAsia"/>
        </w:rPr>
        <w:t>对我市食品安全工作</w:t>
      </w:r>
      <w:r w:rsidR="00B549DA">
        <w:rPr>
          <w:rFonts w:hint="eastAsia"/>
        </w:rPr>
        <w:t>的关心与支持</w:t>
      </w:r>
      <w:r>
        <w:rPr>
          <w:rFonts w:hint="eastAsia"/>
        </w:rPr>
        <w:t>，现</w:t>
      </w:r>
      <w:r w:rsidR="00B549DA">
        <w:rPr>
          <w:rFonts w:hint="eastAsia"/>
        </w:rPr>
        <w:t>就</w:t>
      </w:r>
      <w:r w:rsidR="00D02353">
        <w:rPr>
          <w:rFonts w:hint="eastAsia"/>
        </w:rPr>
        <w:t>强化各级政府主体责任、加强执法能力建设等建议</w:t>
      </w:r>
      <w:r>
        <w:rPr>
          <w:rFonts w:hint="eastAsia"/>
        </w:rPr>
        <w:t>答复如下：</w:t>
      </w:r>
    </w:p>
    <w:p w14:paraId="21F6F399" w14:textId="38A9468E" w:rsidR="000864A1" w:rsidRPr="000864A1" w:rsidRDefault="000864A1" w:rsidP="00725320">
      <w:pPr>
        <w:spacing w:before="100" w:beforeAutospacing="1" w:after="100" w:afterAutospacing="1"/>
        <w:ind w:firstLineChars="200" w:firstLine="640"/>
        <w:rPr>
          <w:rFonts w:ascii="黑体" w:eastAsia="黑体" w:hAnsi="黑体"/>
        </w:rPr>
      </w:pPr>
      <w:r w:rsidRPr="000864A1">
        <w:rPr>
          <w:rFonts w:ascii="黑体" w:eastAsia="黑体" w:hAnsi="黑体" w:hint="eastAsia"/>
        </w:rPr>
        <w:t>一、依据《中华人民共和国食品安全法》成立食品安全委员会</w:t>
      </w:r>
      <w:r>
        <w:rPr>
          <w:rFonts w:ascii="黑体" w:eastAsia="黑体" w:hAnsi="黑体" w:hint="eastAsia"/>
        </w:rPr>
        <w:t>及其办公室</w:t>
      </w:r>
    </w:p>
    <w:p w14:paraId="77B73A7D" w14:textId="02C2DF8D" w:rsidR="00A9038C" w:rsidRDefault="000864A1" w:rsidP="00725320">
      <w:pPr>
        <w:spacing w:before="100" w:beforeAutospacing="1" w:after="100" w:afterAutospacing="1"/>
        <w:ind w:firstLineChars="200" w:firstLine="640"/>
        <w:rPr>
          <w:rFonts w:hAnsi="仿宋" w:cs="Times New Roman"/>
          <w:szCs w:val="32"/>
        </w:rPr>
      </w:pPr>
      <w:r>
        <w:rPr>
          <w:rFonts w:hint="eastAsia"/>
        </w:rPr>
        <w:t>抚顺市政府食品安全委员会及其办公室依照法律设立，我市各</w:t>
      </w:r>
      <w:r w:rsidR="00DA46A4" w:rsidRPr="00B549DA">
        <w:rPr>
          <w:rFonts w:hint="eastAsia"/>
        </w:rPr>
        <w:t>级</w:t>
      </w:r>
      <w:r w:rsidR="00B549DA" w:rsidRPr="00B549DA">
        <w:rPr>
          <w:rFonts w:hint="eastAsia"/>
        </w:rPr>
        <w:t>党委</w:t>
      </w:r>
      <w:r w:rsidR="00DA46A4" w:rsidRPr="00B549DA">
        <w:rPr>
          <w:rFonts w:hint="eastAsia"/>
        </w:rPr>
        <w:t>政府</w:t>
      </w:r>
      <w:r w:rsidR="00E87B05">
        <w:rPr>
          <w:rFonts w:hint="eastAsia"/>
        </w:rPr>
        <w:t>层层</w:t>
      </w:r>
      <w:r w:rsidR="00DA46A4" w:rsidRPr="00B549DA">
        <w:rPr>
          <w:rFonts w:hint="eastAsia"/>
        </w:rPr>
        <w:t>落实食品安全主体责任</w:t>
      </w:r>
      <w:r w:rsidR="00B549DA" w:rsidRPr="00B549DA">
        <w:rPr>
          <w:rFonts w:hint="eastAsia"/>
        </w:rPr>
        <w:t>。</w:t>
      </w:r>
      <w:r w:rsidR="009B3C84">
        <w:rPr>
          <w:rFonts w:hAnsi="仿宋" w:cs="Times New Roman" w:hint="eastAsia"/>
          <w:szCs w:val="32"/>
        </w:rPr>
        <w:t>落实领导干部</w:t>
      </w:r>
      <w:r w:rsidR="00372FDB">
        <w:rPr>
          <w:rFonts w:hAnsi="仿宋" w:cs="Times New Roman" w:hint="eastAsia"/>
          <w:szCs w:val="32"/>
        </w:rPr>
        <w:t>主体责任制既是《中华人民共和国食品安全法》要求，也</w:t>
      </w:r>
      <w:r w:rsidR="00372FDB">
        <w:rPr>
          <w:rFonts w:hAnsi="仿宋" w:cs="Times New Roman" w:hint="eastAsia"/>
          <w:szCs w:val="32"/>
        </w:rPr>
        <w:lastRenderedPageBreak/>
        <w:t>是立党为公、执政为民的具体体现。</w:t>
      </w:r>
      <w:r w:rsidR="00372FDB" w:rsidRPr="00372FDB">
        <w:rPr>
          <w:rFonts w:hAnsi="仿宋" w:cs="Times New Roman" w:hint="eastAsia"/>
          <w:szCs w:val="32"/>
        </w:rPr>
        <w:t>《中共中央 国务院关于深化改革加强食品安全工作的意见》</w:t>
      </w:r>
      <w:r w:rsidR="00372FDB">
        <w:rPr>
          <w:rFonts w:hAnsi="仿宋" w:cs="Times New Roman" w:hint="eastAsia"/>
          <w:szCs w:val="32"/>
        </w:rPr>
        <w:t>《中共中央办公厅、国务院办公厅关于印发〈地方党政领导干部食品安全责任制规定〉的通知》，对各级党委、政府及主要领导者都提出了具体的工作要求。市委、市政府高度重视食品安全工作，</w:t>
      </w:r>
      <w:r w:rsidR="00E94D2F" w:rsidRPr="00045075">
        <w:rPr>
          <w:rFonts w:hAnsi="仿宋" w:cs="Times New Roman" w:hint="eastAsia"/>
          <w:szCs w:val="32"/>
        </w:rPr>
        <w:t>始终将食品安全工作作为保民生、促发展、维护社会稳定的重大政治任务来抓</w:t>
      </w:r>
      <w:r w:rsidR="00372FDB">
        <w:rPr>
          <w:rFonts w:hAnsi="仿宋" w:cs="Times New Roman" w:hint="eastAsia"/>
          <w:szCs w:val="32"/>
        </w:rPr>
        <w:t>。</w:t>
      </w:r>
      <w:r w:rsidR="00B549DA">
        <w:rPr>
          <w:rFonts w:hAnsi="仿宋" w:hint="eastAsia"/>
          <w:szCs w:val="32"/>
        </w:rPr>
        <w:t>年内分别召开了两次市委常委会、市政府常务会会议，听取食品安全工作情况</w:t>
      </w:r>
      <w:r w:rsidR="00D02353">
        <w:rPr>
          <w:rFonts w:hAnsi="仿宋" w:hint="eastAsia"/>
          <w:szCs w:val="32"/>
        </w:rPr>
        <w:t>汇报</w:t>
      </w:r>
      <w:r w:rsidR="00B549DA">
        <w:rPr>
          <w:rFonts w:hAnsi="仿宋" w:hint="eastAsia"/>
          <w:szCs w:val="32"/>
        </w:rPr>
        <w:t>，研究部署食品安</w:t>
      </w:r>
      <w:r w:rsidR="00D02353">
        <w:rPr>
          <w:rFonts w:hAnsi="仿宋" w:hint="eastAsia"/>
          <w:szCs w:val="32"/>
        </w:rPr>
        <w:t>全工作，</w:t>
      </w:r>
      <w:r w:rsidR="00B549DA">
        <w:rPr>
          <w:rFonts w:hAnsi="仿宋" w:hint="eastAsia"/>
          <w:szCs w:val="32"/>
        </w:rPr>
        <w:t>就抗击新冠肺炎疫情过程中，加强食品安全监管，确保百姓饮食安全做出工作部署。特别是在应急处置进口牛肉和厄瓜多尔白虾核酸检测阳性事件工作中，市政府主要领导协调卫健、市场监管部门科学防控，积极应对，我市没有物传人的病例发生。市政府绩效管理部门将食品安全工作纳入政府工作目标，实行绩效考评。</w:t>
      </w:r>
      <w:proofErr w:type="gramStart"/>
      <w:r w:rsidR="00B549DA">
        <w:rPr>
          <w:rFonts w:hAnsi="仿宋" w:hint="eastAsia"/>
          <w:szCs w:val="32"/>
        </w:rPr>
        <w:t>市政府食安委</w:t>
      </w:r>
      <w:proofErr w:type="gramEnd"/>
      <w:r w:rsidR="00B549DA">
        <w:rPr>
          <w:rFonts w:hAnsi="仿宋" w:hint="eastAsia"/>
          <w:szCs w:val="32"/>
        </w:rPr>
        <w:t>制定了考评方案，细化了考核指标，层层压实工作任务，指标到人。市政府组织修订了食品安全事故应急处置方案，提高了突发公共卫生事件的应急处置能力。</w:t>
      </w:r>
    </w:p>
    <w:p w14:paraId="170FD59C" w14:textId="7A434942" w:rsidR="00B135A5" w:rsidRDefault="00B549DA" w:rsidP="00725320">
      <w:pPr>
        <w:spacing w:before="100" w:beforeAutospacing="1" w:after="100" w:afterAutospacing="1"/>
        <w:ind w:firstLineChars="200" w:firstLine="640"/>
        <w:rPr>
          <w:rFonts w:hAnsi="仿宋"/>
          <w:szCs w:val="32"/>
        </w:rPr>
      </w:pPr>
      <w:r>
        <w:rPr>
          <w:rFonts w:hAnsi="仿宋" w:hint="eastAsia"/>
          <w:szCs w:val="32"/>
        </w:rPr>
        <w:t>抚顺市委印发了</w:t>
      </w:r>
      <w:r w:rsidR="00E94D2F">
        <w:rPr>
          <w:rFonts w:hAnsi="仿宋" w:hint="eastAsia"/>
          <w:szCs w:val="32"/>
        </w:rPr>
        <w:t>《抚顺市市级党政领导干部食品安全工作责任清单》</w:t>
      </w:r>
      <w:r>
        <w:rPr>
          <w:rFonts w:hAnsi="仿宋" w:hint="eastAsia"/>
          <w:szCs w:val="32"/>
        </w:rPr>
        <w:t>，全面厘清了全市副市级以上领导干部的食品安全工作职责。</w:t>
      </w:r>
      <w:proofErr w:type="gramStart"/>
      <w:r>
        <w:rPr>
          <w:rFonts w:hAnsi="仿宋" w:hint="eastAsia"/>
          <w:szCs w:val="32"/>
        </w:rPr>
        <w:t>市政府食安委</w:t>
      </w:r>
      <w:proofErr w:type="gramEnd"/>
      <w:r w:rsidRPr="00CC7490">
        <w:rPr>
          <w:rFonts w:hAnsi="仿宋" w:hint="eastAsia"/>
          <w:szCs w:val="32"/>
        </w:rPr>
        <w:t>《抚顺市人民政府食品安全委员会关于明确市政府食安委组成人员的通知》（</w:t>
      </w:r>
      <w:proofErr w:type="gramStart"/>
      <w:r w:rsidRPr="00CC7490">
        <w:rPr>
          <w:rFonts w:hAnsi="仿宋" w:hint="eastAsia"/>
          <w:szCs w:val="32"/>
        </w:rPr>
        <w:t>抚食</w:t>
      </w:r>
      <w:proofErr w:type="gramEnd"/>
      <w:r w:rsidRPr="00CC7490">
        <w:rPr>
          <w:rFonts w:hAnsi="仿宋" w:hint="eastAsia"/>
          <w:szCs w:val="32"/>
        </w:rPr>
        <w:t>安委发〔2021〕1号）</w:t>
      </w:r>
      <w:r>
        <w:rPr>
          <w:rFonts w:hAnsi="仿宋" w:hint="eastAsia"/>
          <w:szCs w:val="32"/>
        </w:rPr>
        <w:t>，调整了议事机构。</w:t>
      </w:r>
      <w:r w:rsidR="00502A4D" w:rsidRPr="00B135A5">
        <w:rPr>
          <w:rFonts w:hAnsi="仿宋" w:hint="eastAsia"/>
          <w:szCs w:val="32"/>
        </w:rPr>
        <w:t>《关于印发抚顺市贯彻落</w:t>
      </w:r>
      <w:r w:rsidR="00502A4D" w:rsidRPr="00B135A5">
        <w:rPr>
          <w:rFonts w:hAnsi="仿宋" w:hint="eastAsia"/>
          <w:szCs w:val="32"/>
        </w:rPr>
        <w:lastRenderedPageBreak/>
        <w:t>实〈中共中央 国务院关于深化改革加强食品安全工作的意见〉重要政策措施和分工方案任务台账的通知》（</w:t>
      </w:r>
      <w:proofErr w:type="gramStart"/>
      <w:r w:rsidR="00502A4D" w:rsidRPr="00B135A5">
        <w:rPr>
          <w:rFonts w:hAnsi="仿宋" w:hint="eastAsia"/>
          <w:szCs w:val="32"/>
        </w:rPr>
        <w:t>抚食安</w:t>
      </w:r>
      <w:proofErr w:type="gramEnd"/>
      <w:r w:rsidR="00502A4D" w:rsidRPr="00B135A5">
        <w:rPr>
          <w:rFonts w:hAnsi="仿宋" w:hint="eastAsia"/>
          <w:szCs w:val="32"/>
        </w:rPr>
        <w:t>办发〔2020〕6号）</w:t>
      </w:r>
      <w:r w:rsidR="00502A4D">
        <w:rPr>
          <w:rFonts w:hAnsi="仿宋" w:hint="eastAsia"/>
          <w:szCs w:val="32"/>
        </w:rPr>
        <w:t>对相关职能部门的食品安全工作职责进行了细化、分解，制定了详细的责任清单。</w:t>
      </w:r>
      <w:r>
        <w:rPr>
          <w:rFonts w:hAnsi="仿宋" w:hint="eastAsia"/>
          <w:szCs w:val="32"/>
        </w:rPr>
        <w:t>市，县、区财政加大投入力量，2</w:t>
      </w:r>
      <w:r>
        <w:rPr>
          <w:rFonts w:hAnsi="仿宋"/>
          <w:szCs w:val="32"/>
        </w:rPr>
        <w:t>020</w:t>
      </w:r>
      <w:r>
        <w:rPr>
          <w:rFonts w:hAnsi="仿宋" w:hint="eastAsia"/>
          <w:szCs w:val="32"/>
        </w:rPr>
        <w:t>年拨付3</w:t>
      </w:r>
      <w:r>
        <w:rPr>
          <w:rFonts w:hAnsi="仿宋"/>
          <w:szCs w:val="32"/>
        </w:rPr>
        <w:t>80</w:t>
      </w:r>
      <w:r>
        <w:rPr>
          <w:rFonts w:hAnsi="仿宋" w:hint="eastAsia"/>
          <w:szCs w:val="32"/>
        </w:rPr>
        <w:t>万元</w:t>
      </w:r>
      <w:r w:rsidR="00502A4D">
        <w:rPr>
          <w:rFonts w:hAnsi="仿宋" w:hint="eastAsia"/>
          <w:szCs w:val="32"/>
        </w:rPr>
        <w:t>专项资金用于监督抽检等工作。</w:t>
      </w:r>
      <w:r>
        <w:rPr>
          <w:rFonts w:hAnsi="仿宋" w:hint="eastAsia"/>
          <w:szCs w:val="32"/>
        </w:rPr>
        <w:t>加强基层监管机构建设，发放快检车7辆，举办了快检人员培训班，全面提升了监管能力。</w:t>
      </w:r>
    </w:p>
    <w:p w14:paraId="54665297" w14:textId="47F56BC4" w:rsidR="00D02353" w:rsidRDefault="000864A1" w:rsidP="00725320">
      <w:pPr>
        <w:spacing w:before="100" w:beforeAutospacing="1" w:after="100" w:afterAutospacing="1"/>
        <w:ind w:firstLineChars="200" w:firstLine="640"/>
        <w:rPr>
          <w:rFonts w:ascii="黑体" w:eastAsia="黑体" w:hAnsi="黑体"/>
          <w:szCs w:val="32"/>
        </w:rPr>
      </w:pPr>
      <w:r w:rsidRPr="000864A1">
        <w:rPr>
          <w:rFonts w:ascii="黑体" w:eastAsia="黑体" w:hAnsi="黑体" w:hint="eastAsia"/>
          <w:szCs w:val="32"/>
        </w:rPr>
        <w:t>二、</w:t>
      </w:r>
      <w:proofErr w:type="gramStart"/>
      <w:r w:rsidR="00D02353">
        <w:rPr>
          <w:rFonts w:ascii="黑体" w:eastAsia="黑体" w:hAnsi="黑体" w:hint="eastAsia"/>
          <w:szCs w:val="32"/>
        </w:rPr>
        <w:t>市政府食安办</w:t>
      </w:r>
      <w:proofErr w:type="gramEnd"/>
      <w:r w:rsidR="00D02353">
        <w:rPr>
          <w:rFonts w:ascii="黑体" w:eastAsia="黑体" w:hAnsi="黑体" w:hint="eastAsia"/>
          <w:szCs w:val="32"/>
        </w:rPr>
        <w:t>充分发挥综合协调作用</w:t>
      </w:r>
    </w:p>
    <w:p w14:paraId="7BCF1E3C" w14:textId="223F718C" w:rsidR="00E94D2F" w:rsidRDefault="00DA46A4" w:rsidP="00725320">
      <w:pPr>
        <w:spacing w:before="100" w:beforeAutospacing="1" w:after="100" w:afterAutospacing="1"/>
        <w:ind w:firstLineChars="200" w:firstLine="640"/>
        <w:rPr>
          <w:rFonts w:hAnsi="仿宋" w:cs="Times New Roman"/>
          <w:szCs w:val="32"/>
        </w:rPr>
      </w:pPr>
      <w:proofErr w:type="gramStart"/>
      <w:r w:rsidRPr="00502A4D">
        <w:rPr>
          <w:rFonts w:hint="eastAsia"/>
        </w:rPr>
        <w:t>市政府食安办</w:t>
      </w:r>
      <w:proofErr w:type="gramEnd"/>
      <w:r w:rsidR="00502A4D">
        <w:rPr>
          <w:rFonts w:hint="eastAsia"/>
        </w:rPr>
        <w:t>充分发挥</w:t>
      </w:r>
      <w:r w:rsidRPr="00502A4D">
        <w:rPr>
          <w:rFonts w:hint="eastAsia"/>
        </w:rPr>
        <w:t>协调、监督、考核</w:t>
      </w:r>
      <w:r w:rsidR="00502A4D">
        <w:rPr>
          <w:rFonts w:hint="eastAsia"/>
        </w:rPr>
        <w:t>职能</w:t>
      </w:r>
      <w:r w:rsidR="00502A4D" w:rsidRPr="00502A4D">
        <w:rPr>
          <w:rFonts w:hint="eastAsia"/>
        </w:rPr>
        <w:t>。</w:t>
      </w:r>
      <w:r w:rsidR="00090FA2">
        <w:rPr>
          <w:rFonts w:hAnsi="仿宋" w:hint="eastAsia"/>
          <w:szCs w:val="32"/>
        </w:rPr>
        <w:t>印发了《</w:t>
      </w:r>
      <w:r w:rsidR="00090FA2" w:rsidRPr="00090FA2">
        <w:rPr>
          <w:rFonts w:hAnsi="仿宋" w:hint="eastAsia"/>
          <w:szCs w:val="32"/>
        </w:rPr>
        <w:t>关于印发抚顺市食品安全工作信息报送制度等三项制度的通知</w:t>
      </w:r>
      <w:r w:rsidR="00090FA2">
        <w:rPr>
          <w:rFonts w:hAnsi="仿宋" w:hint="eastAsia"/>
          <w:szCs w:val="32"/>
        </w:rPr>
        <w:t>》（</w:t>
      </w:r>
      <w:proofErr w:type="gramStart"/>
      <w:r w:rsidR="00090FA2" w:rsidRPr="00090FA2">
        <w:rPr>
          <w:rFonts w:hAnsi="仿宋" w:hint="eastAsia"/>
          <w:szCs w:val="32"/>
        </w:rPr>
        <w:t>抚食安</w:t>
      </w:r>
      <w:proofErr w:type="gramEnd"/>
      <w:r w:rsidR="00090FA2" w:rsidRPr="00090FA2">
        <w:rPr>
          <w:rFonts w:hAnsi="仿宋" w:hint="eastAsia"/>
          <w:szCs w:val="32"/>
        </w:rPr>
        <w:t>办发〔2019〕10号</w:t>
      </w:r>
      <w:r w:rsidR="00090FA2">
        <w:rPr>
          <w:rFonts w:hAnsi="仿宋" w:hint="eastAsia"/>
          <w:szCs w:val="32"/>
        </w:rPr>
        <w:t>），制定了</w:t>
      </w:r>
      <w:r w:rsidR="00E94D2F">
        <w:rPr>
          <w:rFonts w:hAnsi="仿宋" w:hint="eastAsia"/>
          <w:szCs w:val="32"/>
        </w:rPr>
        <w:t>《抚顺市人民政府食品安全委员会工作规则》</w:t>
      </w:r>
      <w:r w:rsidR="00090FA2">
        <w:rPr>
          <w:rFonts w:hAnsi="仿宋" w:hint="eastAsia"/>
          <w:szCs w:val="32"/>
        </w:rPr>
        <w:t>、</w:t>
      </w:r>
      <w:r w:rsidR="00090FA2" w:rsidRPr="00090FA2">
        <w:rPr>
          <w:rFonts w:hAnsi="仿宋" w:hint="eastAsia"/>
          <w:szCs w:val="32"/>
        </w:rPr>
        <w:t>《抚顺市人民政府食品安全委员会关于明确市政府食安委组成人员的通知》（</w:t>
      </w:r>
      <w:proofErr w:type="gramStart"/>
      <w:r w:rsidR="00090FA2" w:rsidRPr="00090FA2">
        <w:rPr>
          <w:rFonts w:hAnsi="仿宋" w:hint="eastAsia"/>
          <w:szCs w:val="32"/>
        </w:rPr>
        <w:t>抚食</w:t>
      </w:r>
      <w:proofErr w:type="gramEnd"/>
      <w:r w:rsidR="00090FA2" w:rsidRPr="00090FA2">
        <w:rPr>
          <w:rFonts w:hAnsi="仿宋" w:hint="eastAsia"/>
          <w:szCs w:val="32"/>
        </w:rPr>
        <w:t>安委发〔2021〕1号）</w:t>
      </w:r>
      <w:r w:rsidR="00090FA2">
        <w:rPr>
          <w:rFonts w:hAnsi="仿宋" w:hint="eastAsia"/>
          <w:szCs w:val="32"/>
        </w:rPr>
        <w:t>。</w:t>
      </w:r>
      <w:r w:rsidR="00E94D2F">
        <w:rPr>
          <w:rFonts w:hAnsi="仿宋" w:hint="eastAsia"/>
          <w:szCs w:val="32"/>
        </w:rPr>
        <w:t>协同相关部门，努力实现“从农田到餐桌”的全过程、无缝隙监管。</w:t>
      </w:r>
      <w:proofErr w:type="gramStart"/>
      <w:r w:rsidR="00E94D2F" w:rsidRPr="00045075">
        <w:rPr>
          <w:rFonts w:hAnsi="仿宋" w:cs="Times New Roman" w:hint="eastAsia"/>
          <w:szCs w:val="32"/>
        </w:rPr>
        <w:t>市政府食安委</w:t>
      </w:r>
      <w:proofErr w:type="gramEnd"/>
      <w:r w:rsidR="00E94D2F" w:rsidRPr="00045075">
        <w:rPr>
          <w:rFonts w:hAnsi="仿宋" w:cs="Times New Roman" w:hint="eastAsia"/>
          <w:szCs w:val="32"/>
        </w:rPr>
        <w:t>制定了</w:t>
      </w:r>
      <w:r w:rsidR="00510F9B">
        <w:rPr>
          <w:rFonts w:hAnsi="仿宋" w:cs="Times New Roman" w:hint="eastAsia"/>
          <w:szCs w:val="32"/>
        </w:rPr>
        <w:t>年度</w:t>
      </w:r>
      <w:r w:rsidR="00E94D2F" w:rsidRPr="00045075">
        <w:rPr>
          <w:rFonts w:hAnsi="仿宋" w:cs="Times New Roman" w:hint="eastAsia"/>
          <w:szCs w:val="32"/>
        </w:rPr>
        <w:t>考评方案，细化了考核指标，层层压实工作任务，指标到人。</w:t>
      </w:r>
    </w:p>
    <w:p w14:paraId="443EDE64" w14:textId="365D4E18" w:rsidR="00510F9B" w:rsidRDefault="0005073C" w:rsidP="00725320">
      <w:pPr>
        <w:spacing w:before="100" w:beforeAutospacing="1" w:after="100" w:afterAutospacing="1"/>
        <w:ind w:firstLineChars="200" w:firstLine="640"/>
      </w:pPr>
      <w:r>
        <w:rPr>
          <w:rFonts w:hAnsi="仿宋" w:cs="华文仿宋" w:hint="eastAsia"/>
          <w:szCs w:val="32"/>
        </w:rPr>
        <w:t>2</w:t>
      </w:r>
      <w:r>
        <w:rPr>
          <w:rFonts w:hAnsi="仿宋" w:cs="华文仿宋"/>
          <w:szCs w:val="32"/>
        </w:rPr>
        <w:t>020</w:t>
      </w:r>
      <w:r>
        <w:rPr>
          <w:rFonts w:hAnsi="仿宋" w:cs="华文仿宋" w:hint="eastAsia"/>
          <w:szCs w:val="32"/>
        </w:rPr>
        <w:t>年，</w:t>
      </w:r>
      <w:r w:rsidR="00D02353">
        <w:rPr>
          <w:rFonts w:hAnsi="仿宋" w:cs="华文仿宋" w:hint="eastAsia"/>
          <w:szCs w:val="32"/>
        </w:rPr>
        <w:t>市、县区两级</w:t>
      </w:r>
      <w:proofErr w:type="gramStart"/>
      <w:r w:rsidR="00D02353">
        <w:rPr>
          <w:rFonts w:hAnsi="仿宋" w:cs="华文仿宋" w:hint="eastAsia"/>
          <w:szCs w:val="32"/>
        </w:rPr>
        <w:t>政府</w:t>
      </w:r>
      <w:r w:rsidR="00510F9B" w:rsidRPr="00045075">
        <w:rPr>
          <w:rFonts w:hAnsi="仿宋" w:cs="华文仿宋" w:hint="eastAsia"/>
          <w:szCs w:val="32"/>
        </w:rPr>
        <w:t>食安委</w:t>
      </w:r>
      <w:proofErr w:type="gramEnd"/>
      <w:r w:rsidR="00510F9B" w:rsidRPr="00045075">
        <w:rPr>
          <w:rFonts w:hAnsi="仿宋" w:cs="华文仿宋" w:hint="eastAsia"/>
          <w:szCs w:val="32"/>
        </w:rPr>
        <w:t>聘请食品安全社会监督员996名，颁发了聘书和证件。</w:t>
      </w:r>
      <w:proofErr w:type="gramStart"/>
      <w:r w:rsidR="00510F9B" w:rsidRPr="00045075">
        <w:rPr>
          <w:rFonts w:hAnsi="仿宋" w:cs="华文仿宋" w:hint="eastAsia"/>
          <w:szCs w:val="32"/>
        </w:rPr>
        <w:t>市政府食安办</w:t>
      </w:r>
      <w:proofErr w:type="gramEnd"/>
      <w:r w:rsidR="00510F9B" w:rsidRPr="00045075">
        <w:rPr>
          <w:rFonts w:hAnsi="仿宋" w:cs="华文仿宋" w:hint="eastAsia"/>
          <w:szCs w:val="32"/>
        </w:rPr>
        <w:t>为食品安全协管员、驻村第一书记印制了《食品安全工作手册》，并开展了相应的业务培训。</w:t>
      </w:r>
      <w:proofErr w:type="gramStart"/>
      <w:r w:rsidR="00510F9B" w:rsidRPr="00045075">
        <w:rPr>
          <w:rFonts w:hAnsi="仿宋" w:cs="华文仿宋" w:hint="eastAsia"/>
          <w:szCs w:val="32"/>
        </w:rPr>
        <w:t>市政府食安办</w:t>
      </w:r>
      <w:proofErr w:type="gramEnd"/>
      <w:r w:rsidR="00510F9B" w:rsidRPr="00045075">
        <w:rPr>
          <w:rFonts w:hAnsi="仿宋" w:cs="华文仿宋" w:hint="eastAsia"/>
          <w:szCs w:val="32"/>
        </w:rPr>
        <w:t>和顺城区政府联合举办了主题为“食品安全人人有责”的食品安全宣传周启动仪式</w:t>
      </w:r>
      <w:r w:rsidR="00510F9B" w:rsidRPr="00045075">
        <w:rPr>
          <w:rFonts w:hAnsi="仿宋" w:hint="eastAsia"/>
          <w:szCs w:val="32"/>
        </w:rPr>
        <w:t>，</w:t>
      </w:r>
      <w:r w:rsidR="00510F9B" w:rsidRPr="00045075">
        <w:rPr>
          <w:rFonts w:hAnsi="仿宋" w:hint="eastAsia"/>
          <w:szCs w:val="32"/>
        </w:rPr>
        <w:lastRenderedPageBreak/>
        <w:t>大力宣传了食品安全建设</w:t>
      </w:r>
      <w:proofErr w:type="gramStart"/>
      <w:r w:rsidR="00510F9B" w:rsidRPr="00045075">
        <w:rPr>
          <w:rFonts w:hAnsi="仿宋" w:hint="eastAsia"/>
          <w:szCs w:val="32"/>
        </w:rPr>
        <w:t>年创</w:t>
      </w:r>
      <w:proofErr w:type="gramEnd"/>
      <w:r w:rsidR="00510F9B" w:rsidRPr="00045075">
        <w:rPr>
          <w:rFonts w:hAnsi="仿宋" w:hint="eastAsia"/>
          <w:szCs w:val="32"/>
        </w:rPr>
        <w:t>建成果，营造了共同关心、关注食品安全的浓厚氛围。利用第三方平台开展食品安全公众满意度调查，及时了解百姓关切。</w:t>
      </w:r>
      <w:r w:rsidR="00510F9B" w:rsidRPr="00045075">
        <w:rPr>
          <w:rFonts w:hAnsi="仿宋" w:cs="华文仿宋" w:hint="eastAsia"/>
          <w:szCs w:val="32"/>
        </w:rPr>
        <w:t>充分发挥主流媒体和新媒体的宣传作用，在广播电视、报纸、网络等媒体报道食品安</w:t>
      </w:r>
      <w:r w:rsidR="00510F9B" w:rsidRPr="00045075">
        <w:rPr>
          <w:rFonts w:hAnsi="仿宋" w:cs="华文仿宋" w:hint="eastAsia"/>
          <w:color w:val="000000" w:themeColor="text1"/>
          <w:szCs w:val="32"/>
        </w:rPr>
        <w:t>全相关信息</w:t>
      </w:r>
      <w:r w:rsidR="00510F9B" w:rsidRPr="00045075">
        <w:rPr>
          <w:rFonts w:hAnsi="仿宋" w:cs="华文仿宋"/>
          <w:color w:val="000000" w:themeColor="text1"/>
          <w:szCs w:val="32"/>
        </w:rPr>
        <w:t>658</w:t>
      </w:r>
      <w:r w:rsidR="00510F9B" w:rsidRPr="00045075">
        <w:rPr>
          <w:rFonts w:hAnsi="仿宋" w:cs="华文仿宋" w:hint="eastAsia"/>
          <w:color w:val="000000" w:themeColor="text1"/>
          <w:szCs w:val="32"/>
        </w:rPr>
        <w:t>次，发放宣传单、画册等宣传材料数量10万余份。建立了《食品经营企业员工举报人保护制度》，扎实做好日常投诉举报受理办理工作，共受理群众投诉、举报828件，办结率 96%。</w:t>
      </w:r>
    </w:p>
    <w:p w14:paraId="32CCB2C3" w14:textId="302E22FE" w:rsidR="00502A4D" w:rsidRPr="005973DD" w:rsidRDefault="00502A4D" w:rsidP="00725320">
      <w:pPr>
        <w:spacing w:before="100" w:beforeAutospacing="1" w:after="100" w:afterAutospacing="1"/>
        <w:ind w:firstLineChars="200" w:firstLine="640"/>
        <w:rPr>
          <w:rFonts w:hAnsi="仿宋" w:cs="仿宋"/>
          <w:szCs w:val="32"/>
        </w:rPr>
      </w:pPr>
      <w:r>
        <w:rPr>
          <w:rFonts w:hint="eastAsia"/>
        </w:rPr>
        <w:t>全市</w:t>
      </w:r>
      <w:r w:rsidR="00375B76">
        <w:rPr>
          <w:rFonts w:hAnsi="仿宋" w:hint="eastAsia"/>
          <w:szCs w:val="32"/>
        </w:rPr>
        <w:t>市场监管</w:t>
      </w:r>
      <w:r>
        <w:rPr>
          <w:rFonts w:hAnsi="仿宋" w:hint="eastAsia"/>
          <w:szCs w:val="32"/>
        </w:rPr>
        <w:t>部门完成了综合执法改革</w:t>
      </w:r>
      <w:r w:rsidR="00375B76">
        <w:rPr>
          <w:rFonts w:hAnsi="仿宋" w:hint="eastAsia"/>
          <w:szCs w:val="32"/>
        </w:rPr>
        <w:t>。以转变职</w:t>
      </w:r>
      <w:r w:rsidR="00375B76">
        <w:rPr>
          <w:rFonts w:hAnsi="仿宋" w:cs="仿宋" w:hint="eastAsia"/>
          <w:szCs w:val="32"/>
        </w:rPr>
        <w:t>能为核心，着力解决权责不清、多头重复执法等矛盾。按照整合市场执法职能，统一执法主体，减少执法层级，实行一支队伍管执法的原则，设立市、县级市</w:t>
      </w:r>
      <w:proofErr w:type="gramStart"/>
      <w:r w:rsidR="00375B76">
        <w:rPr>
          <w:rFonts w:hAnsi="仿宋" w:cs="仿宋" w:hint="eastAsia"/>
          <w:szCs w:val="32"/>
        </w:rPr>
        <w:t>场综合</w:t>
      </w:r>
      <w:proofErr w:type="gramEnd"/>
      <w:r w:rsidR="00375B76">
        <w:rPr>
          <w:rFonts w:hAnsi="仿宋" w:cs="仿宋" w:hint="eastAsia"/>
          <w:szCs w:val="32"/>
        </w:rPr>
        <w:t>行政执法队伍。成立市市场监管综合行政执法队，负责查处城区食品违法行为和案件，区市场监管局不再行使执法办案职责，市市场监管综合行政执法队内设食品生产、食品流通和餐饮三个执法科室，编制21人，将具备专业知识、</w:t>
      </w:r>
      <w:proofErr w:type="gramStart"/>
      <w:r w:rsidR="00375B76">
        <w:rPr>
          <w:rFonts w:hAnsi="仿宋" w:cs="仿宋" w:hint="eastAsia"/>
          <w:szCs w:val="32"/>
        </w:rPr>
        <w:t>熟悉执法</w:t>
      </w:r>
      <w:proofErr w:type="gramEnd"/>
      <w:r w:rsidR="00375B76">
        <w:rPr>
          <w:rFonts w:hAnsi="仿宋" w:cs="仿宋" w:hint="eastAsia"/>
          <w:szCs w:val="32"/>
        </w:rPr>
        <w:t>工作的人员，安排在食品执法一线</w:t>
      </w:r>
      <w:r>
        <w:rPr>
          <w:rFonts w:hAnsi="仿宋" w:cs="仿宋" w:hint="eastAsia"/>
          <w:szCs w:val="32"/>
        </w:rPr>
        <w:t>。</w:t>
      </w:r>
      <w:r w:rsidR="00375B76">
        <w:rPr>
          <w:rFonts w:hAnsi="仿宋" w:cs="仿宋" w:hint="eastAsia"/>
          <w:szCs w:val="32"/>
        </w:rPr>
        <w:t>成立县市场监管综合执法队伍，实行“局队合一”，负责辖区内违法行为和案件的查办工作。</w:t>
      </w:r>
      <w:r>
        <w:rPr>
          <w:rFonts w:hAnsi="仿宋" w:cs="仿宋" w:hint="eastAsia"/>
          <w:szCs w:val="32"/>
        </w:rPr>
        <w:t>加强基层监管机构能力建设，为各乡镇、街道派出机构发放了快检装备、执法记录仪、</w:t>
      </w:r>
      <w:r w:rsidR="006A364E">
        <w:rPr>
          <w:rFonts w:hAnsi="仿宋" w:cs="仿宋" w:hint="eastAsia"/>
          <w:szCs w:val="32"/>
        </w:rPr>
        <w:t>照（摄）相机、便携式打印机等。基层监管机构规范化建设</w:t>
      </w:r>
      <w:r w:rsidR="0020312D">
        <w:rPr>
          <w:rFonts w:hAnsi="仿宋" w:cs="仿宋" w:hint="eastAsia"/>
          <w:szCs w:val="32"/>
        </w:rPr>
        <w:t>达标率达8</w:t>
      </w:r>
      <w:r w:rsidR="0020312D">
        <w:rPr>
          <w:rFonts w:hAnsi="仿宋" w:cs="仿宋"/>
          <w:szCs w:val="32"/>
        </w:rPr>
        <w:t>5.71</w:t>
      </w:r>
      <w:r w:rsidR="0020312D">
        <w:rPr>
          <w:rFonts w:hAnsi="仿宋" w:cs="仿宋" w:hint="eastAsia"/>
          <w:szCs w:val="32"/>
        </w:rPr>
        <w:t>%，完成省任</w:t>
      </w:r>
      <w:r w:rsidR="0020312D" w:rsidRPr="005973DD">
        <w:rPr>
          <w:rFonts w:hAnsi="仿宋" w:cs="仿宋" w:hint="eastAsia"/>
          <w:szCs w:val="32"/>
        </w:rPr>
        <w:t>务指标。</w:t>
      </w:r>
    </w:p>
    <w:p w14:paraId="4B488E1D" w14:textId="4CAD3D8F" w:rsidR="00090FA2" w:rsidRDefault="00E87B05" w:rsidP="00725320">
      <w:pPr>
        <w:spacing w:before="100" w:beforeAutospacing="1" w:after="100" w:afterAutospacing="1"/>
        <w:ind w:firstLineChars="200" w:firstLine="640"/>
        <w:rPr>
          <w:rFonts w:hAnsi="仿宋" w:cs="仿宋_GB2312"/>
          <w:szCs w:val="32"/>
        </w:rPr>
      </w:pPr>
      <w:r>
        <w:rPr>
          <w:rFonts w:hint="eastAsia"/>
        </w:rPr>
        <w:lastRenderedPageBreak/>
        <w:t>完善</w:t>
      </w:r>
      <w:r w:rsidR="00E94D2F" w:rsidRPr="005973DD">
        <w:rPr>
          <w:rFonts w:hint="eastAsia"/>
        </w:rPr>
        <w:t>“行政执法”与“刑事司法”衔接</w:t>
      </w:r>
      <w:r>
        <w:rPr>
          <w:rFonts w:hint="eastAsia"/>
        </w:rPr>
        <w:t>机制</w:t>
      </w:r>
      <w:r w:rsidR="005973DD" w:rsidRPr="005973DD">
        <w:rPr>
          <w:rFonts w:hint="eastAsia"/>
        </w:rPr>
        <w:t>。</w:t>
      </w:r>
      <w:r w:rsidR="00090FA2">
        <w:rPr>
          <w:rFonts w:ascii="仿宋_GB2312" w:eastAsia="仿宋_GB2312" w:hAnsi="仿宋" w:hint="eastAsia"/>
          <w:szCs w:val="32"/>
        </w:rPr>
        <w:t>抚顺市法院、检察院、公安局、市场监管局联合召开了食品药品违法案件行刑衔接工作会议并签署关于落实《食品药品行政执法与刑事司法衔接工作办法》几点意见的会议纪要。</w:t>
      </w:r>
      <w:r w:rsidR="00C415B2">
        <w:rPr>
          <w:rFonts w:ascii="仿宋_GB2312" w:eastAsia="仿宋_GB2312" w:hAnsi="仿宋" w:hint="eastAsia"/>
          <w:szCs w:val="32"/>
        </w:rPr>
        <w:t>市场局为公安部门办理食品安全案件免费提供技术支持，无偿出具检验报告等相关证明材料。</w:t>
      </w:r>
      <w:r w:rsidR="00C415B2">
        <w:rPr>
          <w:rFonts w:hAnsi="仿宋" w:cs="仿宋_GB2312" w:hint="eastAsia"/>
          <w:szCs w:val="32"/>
        </w:rPr>
        <w:t>2</w:t>
      </w:r>
      <w:r w:rsidR="00C415B2">
        <w:rPr>
          <w:rFonts w:hAnsi="仿宋" w:cs="仿宋_GB2312"/>
          <w:szCs w:val="32"/>
        </w:rPr>
        <w:t>020</w:t>
      </w:r>
      <w:r w:rsidR="00C415B2">
        <w:rPr>
          <w:rFonts w:hAnsi="仿宋" w:cs="仿宋_GB2312" w:hint="eastAsia"/>
          <w:szCs w:val="32"/>
        </w:rPr>
        <w:t>年，</w:t>
      </w:r>
      <w:r w:rsidR="00C415B2" w:rsidRPr="00F75D82">
        <w:rPr>
          <w:rFonts w:hAnsi="仿宋" w:cs="仿宋_GB2312" w:hint="eastAsia"/>
          <w:szCs w:val="32"/>
        </w:rPr>
        <w:t>全市共办理食品类案件191件，罚没款174万余元，端掉食品加工黑窝点2个，查扣问题食品9000多公斤。向公安机关移送涉嫌违法犯罪的案件6件，形成了从严执法的高压态势。</w:t>
      </w:r>
    </w:p>
    <w:p w14:paraId="6013CCCC" w14:textId="2CD1A90D" w:rsidR="00C415B2" w:rsidRPr="00D325D8" w:rsidRDefault="000864A1" w:rsidP="00725320">
      <w:pPr>
        <w:spacing w:before="100" w:beforeAutospacing="1" w:after="100" w:afterAutospacing="1"/>
        <w:ind w:firstLineChars="200" w:firstLine="640"/>
        <w:rPr>
          <w:rFonts w:ascii="黑体" w:eastAsia="黑体" w:hAnsi="黑体"/>
        </w:rPr>
      </w:pPr>
      <w:r>
        <w:rPr>
          <w:rFonts w:ascii="黑体" w:eastAsia="黑体" w:hAnsi="黑体" w:hint="eastAsia"/>
        </w:rPr>
        <w:t>三</w:t>
      </w:r>
      <w:r w:rsidR="00C415B2" w:rsidRPr="00D325D8">
        <w:rPr>
          <w:rFonts w:ascii="黑体" w:eastAsia="黑体" w:hAnsi="黑体" w:hint="eastAsia"/>
        </w:rPr>
        <w:t>、下一步工作安排</w:t>
      </w:r>
    </w:p>
    <w:p w14:paraId="63DAB4E1" w14:textId="0C6812C5" w:rsidR="00C415B2" w:rsidRDefault="00C21678" w:rsidP="00725320">
      <w:pPr>
        <w:spacing w:before="100" w:beforeAutospacing="1" w:after="100" w:afterAutospacing="1"/>
        <w:ind w:firstLineChars="200" w:firstLine="640"/>
        <w:rPr>
          <w:rFonts w:hAnsi="仿宋"/>
          <w:szCs w:val="32"/>
        </w:rPr>
      </w:pPr>
      <w:r w:rsidRPr="00BB627D">
        <w:rPr>
          <w:rFonts w:hAnsi="仿宋" w:hint="eastAsia"/>
          <w:szCs w:val="32"/>
        </w:rPr>
        <w:t>下一步主要开展以下几方面工作。一是进一步落实党政同责，实行责任追究。加大督察督办力度，对存在系统食品安全隐患，发生重大食品安全事故处置不力造成恶劣社会影响的单位和个人实行责任追究。二是强化源头防控，化解系统风险。持续推进种植业、养殖业开展“三品一标”认证，推动农产品品牌建设。加强收储粮食质量安全监管，强化“放心粮油”质量安全监督。三是依法依规，实施食品产业链全程监管。在食品生产加工环节，落实风险控制要求，保证生产过程数据完整、真实。强化农产品市场销售监管，落实食用农产品凭合格证入市销售制度。实施餐饮业质量安全提升行动计划，重点推进“明厨亮灶”工程。四是增强自律性，</w:t>
      </w:r>
      <w:r w:rsidRPr="00BB627D">
        <w:rPr>
          <w:rFonts w:hAnsi="仿宋" w:hint="eastAsia"/>
          <w:szCs w:val="32"/>
        </w:rPr>
        <w:lastRenderedPageBreak/>
        <w:t>落实企业主体责任。督促食品生产经营企业严格落实食品安全追溯责任，依法建立并执行食品生产、销售、进货查验、出厂检验等各项记录制度。五是强化风险管控，切实守住食品安全底线。加大食品安全监督抽检力度，扩大抽检覆盖面，做好问题食品核查处置工作。六是凝聚各方力量，推动食品安全社会共治。加强食品投诉举报平台建设，畅通投诉举报渠道，推动食品安全共享共治和综合治理。</w:t>
      </w:r>
    </w:p>
    <w:p w14:paraId="0FA4D81A" w14:textId="77777777" w:rsidR="00655C15" w:rsidRDefault="00655C15" w:rsidP="00725320">
      <w:pPr>
        <w:spacing w:before="100" w:beforeAutospacing="1" w:after="100" w:afterAutospacing="1"/>
        <w:ind w:firstLineChars="200" w:firstLine="640"/>
        <w:rPr>
          <w:rFonts w:hAnsi="仿宋"/>
          <w:szCs w:val="32"/>
        </w:rPr>
      </w:pPr>
    </w:p>
    <w:p w14:paraId="30DB6743" w14:textId="77777777" w:rsidR="00BC5B7E" w:rsidRDefault="00BC5B7E" w:rsidP="00725320">
      <w:pPr>
        <w:spacing w:before="100" w:beforeAutospacing="1" w:after="100" w:afterAutospacing="1"/>
        <w:ind w:firstLineChars="200" w:firstLine="640"/>
        <w:jc w:val="right"/>
        <w:rPr>
          <w:rFonts w:hAnsi="仿宋"/>
          <w:szCs w:val="32"/>
        </w:rPr>
      </w:pPr>
    </w:p>
    <w:p w14:paraId="103F3A00" w14:textId="63EDB23B" w:rsidR="00BC5B7E" w:rsidRDefault="00BC5B7E" w:rsidP="00725320">
      <w:pPr>
        <w:spacing w:before="100" w:beforeAutospacing="1" w:after="100" w:afterAutospacing="1"/>
        <w:ind w:firstLineChars="200" w:firstLine="640"/>
        <w:jc w:val="right"/>
        <w:rPr>
          <w:rFonts w:hAnsi="仿宋"/>
          <w:szCs w:val="32"/>
        </w:rPr>
      </w:pPr>
      <w:r>
        <w:rPr>
          <w:rFonts w:hAnsi="仿宋" w:hint="eastAsia"/>
          <w:szCs w:val="32"/>
        </w:rPr>
        <w:t>抚顺市市场监督管理局</w:t>
      </w:r>
    </w:p>
    <w:p w14:paraId="630F9C7F" w14:textId="01814FFE" w:rsidR="00BC5B7E" w:rsidRDefault="00BC5B7E" w:rsidP="00725320">
      <w:pPr>
        <w:spacing w:before="100" w:beforeAutospacing="1" w:after="100" w:afterAutospacing="1"/>
        <w:ind w:right="320" w:firstLineChars="200" w:firstLine="640"/>
        <w:jc w:val="right"/>
        <w:rPr>
          <w:rFonts w:hAnsi="仿宋"/>
          <w:szCs w:val="32"/>
        </w:rPr>
      </w:pPr>
      <w:r>
        <w:rPr>
          <w:rFonts w:hAnsi="仿宋"/>
          <w:szCs w:val="32"/>
        </w:rPr>
        <w:t>2021年3月</w:t>
      </w:r>
      <w:r w:rsidR="00D325D8">
        <w:rPr>
          <w:rFonts w:hAnsi="仿宋"/>
          <w:szCs w:val="32"/>
        </w:rPr>
        <w:t>3</w:t>
      </w:r>
      <w:r>
        <w:rPr>
          <w:rFonts w:hAnsi="仿宋"/>
          <w:szCs w:val="32"/>
        </w:rPr>
        <w:t>日</w:t>
      </w:r>
    </w:p>
    <w:p w14:paraId="5215ACFF" w14:textId="249A8A4E" w:rsidR="00655C15" w:rsidRDefault="00655C15" w:rsidP="00BC5B7E">
      <w:pPr>
        <w:ind w:firstLineChars="200" w:firstLine="640"/>
        <w:jc w:val="right"/>
      </w:pPr>
    </w:p>
    <w:p w14:paraId="57B899BE" w14:textId="5FEEEBD5" w:rsidR="00655C15" w:rsidRDefault="00655C15" w:rsidP="00BC5B7E">
      <w:pPr>
        <w:ind w:firstLineChars="200" w:firstLine="640"/>
        <w:jc w:val="right"/>
      </w:pPr>
    </w:p>
    <w:p w14:paraId="6BDA341A" w14:textId="2D0DAE9A" w:rsidR="00655C15" w:rsidRDefault="00655C15" w:rsidP="00BC5B7E">
      <w:pPr>
        <w:ind w:firstLineChars="200" w:firstLine="640"/>
        <w:jc w:val="right"/>
      </w:pPr>
    </w:p>
    <w:p w14:paraId="00F005D1" w14:textId="131BDB6D" w:rsidR="00655C15" w:rsidRDefault="00655C15" w:rsidP="00BC5B7E">
      <w:pPr>
        <w:ind w:firstLineChars="200" w:firstLine="640"/>
        <w:jc w:val="right"/>
      </w:pPr>
    </w:p>
    <w:p w14:paraId="2EBD966D" w14:textId="3A40B0EC" w:rsidR="00655C15" w:rsidRDefault="00655C15" w:rsidP="00BC5B7E">
      <w:pPr>
        <w:ind w:firstLineChars="200" w:firstLine="640"/>
        <w:jc w:val="right"/>
      </w:pPr>
    </w:p>
    <w:p w14:paraId="5ED01D58" w14:textId="7102A5C3" w:rsidR="00655C15" w:rsidRDefault="00655C15" w:rsidP="00BC5B7E">
      <w:pPr>
        <w:ind w:firstLineChars="200" w:firstLine="640"/>
        <w:jc w:val="right"/>
      </w:pPr>
    </w:p>
    <w:p w14:paraId="2DA41FE3" w14:textId="215E9CDE" w:rsidR="00655C15" w:rsidRDefault="00655C15" w:rsidP="00655C15">
      <w:pPr>
        <w:jc w:val="left"/>
      </w:pPr>
    </w:p>
    <w:p w14:paraId="45B4B3A2" w14:textId="77777777" w:rsidR="002163A6" w:rsidRDefault="002163A6" w:rsidP="00655C15">
      <w:pPr>
        <w:jc w:val="left"/>
      </w:pPr>
    </w:p>
    <w:p w14:paraId="6FD841D6" w14:textId="29DD6623" w:rsidR="00655C15" w:rsidRDefault="00655C15" w:rsidP="00655C15">
      <w:pPr>
        <w:jc w:val="left"/>
      </w:pPr>
      <w:r>
        <w:rPr>
          <w:rFonts w:hint="eastAsia"/>
        </w:rPr>
        <w:t>抄送：市政府办公室、市政协提案委</w:t>
      </w:r>
      <w:bookmarkStart w:id="2" w:name="_GoBack"/>
      <w:bookmarkEnd w:id="2"/>
    </w:p>
    <w:sectPr w:rsidR="00655C1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C4DA6" w14:textId="77777777" w:rsidR="0001065B" w:rsidRDefault="0001065B" w:rsidP="0028384C">
      <w:pPr>
        <w:spacing w:line="240" w:lineRule="auto"/>
      </w:pPr>
      <w:r>
        <w:separator/>
      </w:r>
    </w:p>
  </w:endnote>
  <w:endnote w:type="continuationSeparator" w:id="0">
    <w:p w14:paraId="2129B648" w14:textId="77777777" w:rsidR="0001065B" w:rsidRDefault="0001065B" w:rsidP="00283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600035"/>
      <w:docPartObj>
        <w:docPartGallery w:val="Page Numbers (Bottom of Page)"/>
        <w:docPartUnique/>
      </w:docPartObj>
    </w:sdtPr>
    <w:sdtEndPr/>
    <w:sdtContent>
      <w:p w14:paraId="7A262C5F" w14:textId="66A0B64C" w:rsidR="00E87B05" w:rsidRDefault="00E87B05">
        <w:pPr>
          <w:pStyle w:val="a5"/>
          <w:jc w:val="center"/>
        </w:pPr>
        <w:r>
          <w:fldChar w:fldCharType="begin"/>
        </w:r>
        <w:r>
          <w:instrText>PAGE   \* MERGEFORMAT</w:instrText>
        </w:r>
        <w:r>
          <w:fldChar w:fldCharType="separate"/>
        </w:r>
        <w:r>
          <w:rPr>
            <w:lang w:val="zh-CN"/>
          </w:rPr>
          <w:t>2</w:t>
        </w:r>
        <w:r>
          <w:fldChar w:fldCharType="end"/>
        </w:r>
      </w:p>
    </w:sdtContent>
  </w:sdt>
  <w:p w14:paraId="729B7A71" w14:textId="77777777" w:rsidR="00E87B05" w:rsidRDefault="00E87B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D988" w14:textId="77777777" w:rsidR="0001065B" w:rsidRDefault="0001065B" w:rsidP="0028384C">
      <w:pPr>
        <w:spacing w:line="240" w:lineRule="auto"/>
      </w:pPr>
      <w:r>
        <w:separator/>
      </w:r>
    </w:p>
  </w:footnote>
  <w:footnote w:type="continuationSeparator" w:id="0">
    <w:p w14:paraId="6E7181AC" w14:textId="77777777" w:rsidR="0001065B" w:rsidRDefault="0001065B" w:rsidP="002838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A209E"/>
    <w:rsid w:val="0001065B"/>
    <w:rsid w:val="0005073C"/>
    <w:rsid w:val="000864A1"/>
    <w:rsid w:val="00090FA2"/>
    <w:rsid w:val="000B2B4D"/>
    <w:rsid w:val="000F1B04"/>
    <w:rsid w:val="00117DE5"/>
    <w:rsid w:val="00140D22"/>
    <w:rsid w:val="001D1A66"/>
    <w:rsid w:val="0020312D"/>
    <w:rsid w:val="002163A6"/>
    <w:rsid w:val="002709B8"/>
    <w:rsid w:val="0028384C"/>
    <w:rsid w:val="002B2855"/>
    <w:rsid w:val="00372FDB"/>
    <w:rsid w:val="00375B76"/>
    <w:rsid w:val="003842FD"/>
    <w:rsid w:val="003A209E"/>
    <w:rsid w:val="003A4F09"/>
    <w:rsid w:val="004339CB"/>
    <w:rsid w:val="00452131"/>
    <w:rsid w:val="00502A4D"/>
    <w:rsid w:val="00510F9B"/>
    <w:rsid w:val="005973DD"/>
    <w:rsid w:val="005A21CA"/>
    <w:rsid w:val="00612B21"/>
    <w:rsid w:val="00655C15"/>
    <w:rsid w:val="006A364E"/>
    <w:rsid w:val="006B7826"/>
    <w:rsid w:val="006D7852"/>
    <w:rsid w:val="00725320"/>
    <w:rsid w:val="007421D1"/>
    <w:rsid w:val="00753DFD"/>
    <w:rsid w:val="00795632"/>
    <w:rsid w:val="00795B2A"/>
    <w:rsid w:val="00805F59"/>
    <w:rsid w:val="008E0A38"/>
    <w:rsid w:val="00945BA5"/>
    <w:rsid w:val="00961634"/>
    <w:rsid w:val="009922D6"/>
    <w:rsid w:val="00995B91"/>
    <w:rsid w:val="009B05C4"/>
    <w:rsid w:val="009B3C84"/>
    <w:rsid w:val="009D2A3E"/>
    <w:rsid w:val="009E5804"/>
    <w:rsid w:val="009F0A29"/>
    <w:rsid w:val="00A9038C"/>
    <w:rsid w:val="00B05838"/>
    <w:rsid w:val="00B135A5"/>
    <w:rsid w:val="00B365F7"/>
    <w:rsid w:val="00B549DA"/>
    <w:rsid w:val="00BC5B7E"/>
    <w:rsid w:val="00C21678"/>
    <w:rsid w:val="00C415B2"/>
    <w:rsid w:val="00CC7490"/>
    <w:rsid w:val="00CD798D"/>
    <w:rsid w:val="00D022B8"/>
    <w:rsid w:val="00D02353"/>
    <w:rsid w:val="00D325D8"/>
    <w:rsid w:val="00D46919"/>
    <w:rsid w:val="00D8067D"/>
    <w:rsid w:val="00DA46A4"/>
    <w:rsid w:val="00E16DCE"/>
    <w:rsid w:val="00E6476F"/>
    <w:rsid w:val="00E87B05"/>
    <w:rsid w:val="00E94D2F"/>
    <w:rsid w:val="00F24CBE"/>
    <w:rsid w:val="00F5745D"/>
    <w:rsid w:val="00F94801"/>
    <w:rsid w:val="00FF3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0356"/>
  <w15:chartTrackingRefBased/>
  <w15:docId w15:val="{25807087-84DB-465C-A1B5-45B8F5B1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98D"/>
    <w:pPr>
      <w:widowControl w:val="0"/>
      <w:spacing w:line="360" w:lineRule="auto"/>
      <w:jc w:val="both"/>
    </w:pPr>
    <w:rPr>
      <w:rFonts w:ascii="仿宋" w:eastAsia="仿宋"/>
      <w:sz w:val="32"/>
    </w:rPr>
  </w:style>
  <w:style w:type="paragraph" w:styleId="1">
    <w:name w:val="heading 1"/>
    <w:basedOn w:val="a"/>
    <w:next w:val="a"/>
    <w:link w:val="10"/>
    <w:uiPriority w:val="9"/>
    <w:qFormat/>
    <w:rsid w:val="000B2B4D"/>
    <w:pPr>
      <w:keepNext/>
      <w:keepLines/>
      <w:jc w:val="center"/>
      <w:outlineLvl w:val="0"/>
    </w:pPr>
    <w:rPr>
      <w:rFonts w:eastAsiaTheme="maj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B2B4D"/>
    <w:rPr>
      <w:rFonts w:eastAsiaTheme="majorEastAsia"/>
      <w:b/>
      <w:bCs/>
      <w:kern w:val="44"/>
      <w:sz w:val="44"/>
      <w:szCs w:val="44"/>
    </w:rPr>
  </w:style>
  <w:style w:type="paragraph" w:styleId="a3">
    <w:name w:val="header"/>
    <w:basedOn w:val="a"/>
    <w:link w:val="a4"/>
    <w:uiPriority w:val="99"/>
    <w:unhideWhenUsed/>
    <w:rsid w:val="0028384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28384C"/>
    <w:rPr>
      <w:rFonts w:ascii="仿宋" w:eastAsia="仿宋"/>
      <w:sz w:val="18"/>
      <w:szCs w:val="18"/>
    </w:rPr>
  </w:style>
  <w:style w:type="paragraph" w:styleId="a5">
    <w:name w:val="footer"/>
    <w:basedOn w:val="a"/>
    <w:link w:val="a6"/>
    <w:uiPriority w:val="99"/>
    <w:unhideWhenUsed/>
    <w:rsid w:val="0028384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28384C"/>
    <w:rPr>
      <w:rFonts w:ascii="仿宋" w:eastAsia="仿宋"/>
      <w:sz w:val="18"/>
      <w:szCs w:val="18"/>
    </w:rPr>
  </w:style>
  <w:style w:type="character" w:customStyle="1" w:styleId="NormalCharacter">
    <w:name w:val="NormalCharacter"/>
    <w:semiHidden/>
    <w:rsid w:val="00140D22"/>
  </w:style>
  <w:style w:type="paragraph" w:styleId="a7">
    <w:name w:val="Balloon Text"/>
    <w:basedOn w:val="a"/>
    <w:link w:val="a8"/>
    <w:uiPriority w:val="99"/>
    <w:semiHidden/>
    <w:unhideWhenUsed/>
    <w:rsid w:val="000F1B04"/>
    <w:pPr>
      <w:spacing w:line="240" w:lineRule="auto"/>
    </w:pPr>
    <w:rPr>
      <w:sz w:val="18"/>
      <w:szCs w:val="18"/>
    </w:rPr>
  </w:style>
  <w:style w:type="character" w:customStyle="1" w:styleId="a8">
    <w:name w:val="批注框文本 字符"/>
    <w:basedOn w:val="a0"/>
    <w:link w:val="a7"/>
    <w:uiPriority w:val="99"/>
    <w:semiHidden/>
    <w:rsid w:val="000F1B04"/>
    <w:rPr>
      <w:rFonts w:ascii="仿宋"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6089">
      <w:bodyDiv w:val="1"/>
      <w:marLeft w:val="0"/>
      <w:marRight w:val="0"/>
      <w:marTop w:val="0"/>
      <w:marBottom w:val="0"/>
      <w:divBdr>
        <w:top w:val="none" w:sz="0" w:space="0" w:color="auto"/>
        <w:left w:val="none" w:sz="0" w:space="0" w:color="auto"/>
        <w:bottom w:val="none" w:sz="0" w:space="0" w:color="auto"/>
        <w:right w:val="none" w:sz="0" w:space="0" w:color="auto"/>
      </w:divBdr>
    </w:div>
    <w:div w:id="13948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C3DA-0615-4768-91F8-29541B1C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张倩</dc:creator>
  <cp:keywords/>
  <dc:description/>
  <cp:lastModifiedBy>NTKO</cp:lastModifiedBy>
  <cp:revision>60</cp:revision>
  <cp:lastPrinted>2021-04-15T02:06:00Z</cp:lastPrinted>
  <dcterms:created xsi:type="dcterms:W3CDTF">2020-12-28T06:55:00Z</dcterms:created>
  <dcterms:modified xsi:type="dcterms:W3CDTF">2021-04-15T03:03:00Z</dcterms:modified>
</cp:coreProperties>
</file>