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1A" w:rsidRPr="000C31EF" w:rsidRDefault="0056371A" w:rsidP="0056371A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重大行政决定法制审核流程图</w:t>
      </w:r>
    </w:p>
    <w:p w:rsidR="0056371A" w:rsidRPr="00880A59" w:rsidRDefault="00E03343" w:rsidP="0056371A">
      <w:pPr>
        <w:jc w:val="center"/>
        <w:rPr>
          <w:rFonts w:ascii="黑体" w:eastAsia="黑体" w:hAnsi="宋体"/>
          <w:noProof/>
          <w:sz w:val="44"/>
          <w:szCs w:val="44"/>
        </w:rPr>
      </w:pPr>
      <w:r>
        <w:rPr>
          <w:rFonts w:ascii="黑体" w:eastAsia="黑体" w:hAnsi="宋体"/>
          <w:noProof/>
          <w:sz w:val="44"/>
          <w:szCs w:val="4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194.25pt;margin-top:7.8pt;width:120.75pt;height:381pt;z-index:251667456">
            <v:textbox style="mso-next-textbox:#_x0000_s1033">
              <w:txbxContent>
                <w:p w:rsidR="0056371A" w:rsidRPr="00815EC4" w:rsidRDefault="0056371A" w:rsidP="0056371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法制审核</w:t>
                  </w:r>
                </w:p>
                <w:p w:rsidR="0056371A" w:rsidRDefault="0056371A" w:rsidP="0056371A"/>
                <w:p w:rsidR="0056371A" w:rsidRPr="00E03343" w:rsidRDefault="0056371A" w:rsidP="0056371A">
                  <w:r w:rsidRPr="00E03343">
                    <w:rPr>
                      <w:rFonts w:hint="eastAsia"/>
                    </w:rPr>
                    <w:t>（一）案件是否有管辖权；（二）执法主体是否适格，执法人员是否具有执法资格，是否超越或者滥用职权；（三）违法事实是否清楚，证据是否确实充分；（四）适用法律法规是否准确；（五）案件当事人的权利是否得到保障；（六）执法决定的裁量是否合理、适当；（七）执法程序是否合法、完整；（八）执法文书是否完备、规范；（九）违法行为是否涉嫌犯罪，是否需要移送司法机关。</w:t>
                  </w:r>
                </w:p>
                <w:p w:rsidR="0056371A" w:rsidRPr="0056371A" w:rsidRDefault="0056371A" w:rsidP="0056371A">
                  <w:pPr>
                    <w:rPr>
                      <w:rFonts w:ascii="仿宋_GB2312" w:eastAsia="仿宋_GB2312"/>
                      <w:szCs w:val="21"/>
                    </w:rPr>
                  </w:pPr>
                  <w:r w:rsidRPr="00E03343">
                    <w:rPr>
                      <w:rFonts w:hint="eastAsia"/>
                    </w:rPr>
                    <w:t>办理时限：</w:t>
                  </w:r>
                  <w:r w:rsidRPr="00E03343">
                    <w:rPr>
                      <w:rFonts w:hint="eastAsia"/>
                    </w:rPr>
                    <w:t>7</w:t>
                  </w:r>
                  <w:r w:rsidRPr="00E03343">
                    <w:rPr>
                      <w:rFonts w:hint="eastAsia"/>
                    </w:rPr>
                    <w:t>天，案件复杂的，经分管法制工作领导批准可以延长</w:t>
                  </w:r>
                  <w:r w:rsidRPr="00E03343">
                    <w:rPr>
                      <w:rFonts w:hint="eastAsia"/>
                    </w:rPr>
                    <w:t>3</w:t>
                  </w:r>
                  <w:r w:rsidRPr="00E03343">
                    <w:rPr>
                      <w:rFonts w:hint="eastAsia"/>
                    </w:rPr>
                    <w:t>个工作日。</w:t>
                  </w:r>
                </w:p>
                <w:p w:rsidR="0056371A" w:rsidRDefault="0056371A" w:rsidP="0056371A"/>
              </w:txbxContent>
            </v:textbox>
          </v:shape>
        </w:pict>
      </w:r>
      <w:r w:rsidR="009C3B02">
        <w:rPr>
          <w:rFonts w:ascii="黑体" w:eastAsia="黑体" w:hAnsi="宋体"/>
          <w:noProof/>
          <w:sz w:val="44"/>
          <w:szCs w:val="44"/>
        </w:rPr>
        <w:pict>
          <v:shape id="_x0000_s1028" type="#_x0000_t109" style="position:absolute;left:0;text-align:left;margin-left:63pt;margin-top:15.3pt;width:71.25pt;height:361.5pt;z-index:251662336">
            <v:textbox style="mso-next-textbox:#_x0000_s1028">
              <w:txbxContent>
                <w:p w:rsidR="0056371A" w:rsidRPr="002A7DD6" w:rsidRDefault="0056371A" w:rsidP="0056371A">
                  <w:pPr>
                    <w:jc w:val="center"/>
                    <w:rPr>
                      <w:b/>
                    </w:rPr>
                  </w:pPr>
                  <w:r w:rsidRPr="002A7DD6">
                    <w:rPr>
                      <w:rFonts w:hint="eastAsia"/>
                      <w:b/>
                    </w:rPr>
                    <w:t>收件</w:t>
                  </w:r>
                </w:p>
                <w:p w:rsidR="0056371A" w:rsidRDefault="0056371A" w:rsidP="0056371A"/>
                <w:p w:rsidR="0056371A" w:rsidRPr="00B54D86" w:rsidRDefault="0056371A" w:rsidP="0056371A">
                  <w:pPr>
                    <w:rPr>
                      <w:rFonts w:ascii="宋体" w:hAnsi="宋体"/>
                    </w:rPr>
                  </w:pPr>
                  <w:r w:rsidRPr="00B54D86">
                    <w:rPr>
                      <w:rFonts w:ascii="宋体" w:hAnsi="宋体" w:hint="eastAsia"/>
                    </w:rPr>
                    <w:t>承办岗位：</w:t>
                  </w:r>
                </w:p>
                <w:p w:rsidR="0056371A" w:rsidRPr="00B54D86" w:rsidRDefault="0056371A" w:rsidP="0056371A">
                  <w:pPr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</w:rPr>
                    <w:t>法制科</w:t>
                  </w:r>
                </w:p>
                <w:p w:rsidR="0056371A" w:rsidRPr="00294B2D" w:rsidRDefault="0056371A" w:rsidP="0056371A">
                  <w:pPr>
                    <w:rPr>
                      <w:sz w:val="18"/>
                      <w:szCs w:val="18"/>
                    </w:rPr>
                  </w:pPr>
                  <w:r w:rsidRPr="00294B2D">
                    <w:rPr>
                      <w:rFonts w:hint="eastAsia"/>
                      <w:sz w:val="18"/>
                      <w:szCs w:val="18"/>
                    </w:rPr>
                    <w:t>责任人：</w:t>
                  </w:r>
                  <w:r>
                    <w:rPr>
                      <w:rFonts w:hint="eastAsia"/>
                      <w:sz w:val="18"/>
                      <w:szCs w:val="18"/>
                    </w:rPr>
                    <w:t>责任单位负责人</w:t>
                  </w:r>
                </w:p>
                <w:p w:rsidR="0056371A" w:rsidRPr="00B54D86" w:rsidRDefault="0056371A" w:rsidP="0056371A">
                  <w:pPr>
                    <w:rPr>
                      <w:rFonts w:ascii="宋体" w:hAnsi="宋体"/>
                    </w:rPr>
                  </w:pPr>
                  <w:r w:rsidRPr="00294B2D">
                    <w:rPr>
                      <w:rFonts w:hint="eastAsia"/>
                      <w:sz w:val="18"/>
                      <w:szCs w:val="18"/>
                    </w:rPr>
                    <w:t>经办人：</w:t>
                  </w:r>
                  <w:r>
                    <w:rPr>
                      <w:rFonts w:hint="eastAsia"/>
                      <w:sz w:val="18"/>
                      <w:szCs w:val="18"/>
                    </w:rPr>
                    <w:t>责任单位工作人员</w:t>
                  </w:r>
                </w:p>
                <w:p w:rsidR="0056371A" w:rsidRPr="00B54D86" w:rsidRDefault="0056371A" w:rsidP="00996734">
                  <w:pPr>
                    <w:ind w:left="210" w:hangingChars="100" w:hanging="210"/>
                    <w:rPr>
                      <w:rFonts w:ascii="宋体" w:hAnsi="宋体"/>
                    </w:rPr>
                  </w:pPr>
                  <w:r w:rsidRPr="00B54D86">
                    <w:rPr>
                      <w:rFonts w:ascii="宋体" w:hAnsi="宋体" w:hint="eastAsia"/>
                    </w:rPr>
                    <w:t>联系电</w:t>
                  </w:r>
                  <w:r w:rsidR="00996734">
                    <w:rPr>
                      <w:rFonts w:ascii="宋体" w:hAnsi="宋体" w:hint="eastAsia"/>
                    </w:rPr>
                    <w:t xml:space="preserve">　</w:t>
                  </w:r>
                  <w:r w:rsidRPr="00B54D86">
                    <w:rPr>
                      <w:rFonts w:ascii="宋体" w:hAnsi="宋体" w:hint="eastAsia"/>
                    </w:rPr>
                    <w:t>话：</w:t>
                  </w:r>
                  <w:r>
                    <w:rPr>
                      <w:rFonts w:ascii="宋体" w:hAnsi="宋体" w:hint="eastAsia"/>
                      <w:szCs w:val="21"/>
                    </w:rPr>
                    <w:t>57505821</w:t>
                  </w:r>
                </w:p>
                <w:p w:rsidR="0056371A" w:rsidRPr="00983FD7" w:rsidRDefault="0056371A" w:rsidP="0056371A"/>
              </w:txbxContent>
            </v:textbox>
          </v:shape>
        </w:pict>
      </w:r>
    </w:p>
    <w:p w:rsidR="0056371A" w:rsidRPr="00880A59" w:rsidRDefault="009C3B02" w:rsidP="0056371A">
      <w:pPr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/>
          <w:noProof/>
          <w:sz w:val="44"/>
          <w:szCs w:val="44"/>
        </w:rPr>
        <w:pict>
          <v:shape id="_x0000_s1035" type="#_x0000_t109" style="position:absolute;left:0;text-align:left;margin-left:333pt;margin-top:20.1pt;width:81pt;height:199.5pt;z-index:251669504">
            <v:textbox style="mso-next-textbox:#_x0000_s1035">
              <w:txbxContent>
                <w:p w:rsidR="0056371A" w:rsidRDefault="00B607E1" w:rsidP="0056371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报局领导审批</w:t>
                  </w:r>
                </w:p>
                <w:p w:rsidR="0056371A" w:rsidRDefault="0056371A" w:rsidP="0056371A"/>
                <w:p w:rsidR="00B607E1" w:rsidRPr="00365BE9" w:rsidRDefault="00B607E1" w:rsidP="00B607E1">
                  <w:pPr>
                    <w:rPr>
                      <w:rFonts w:ascii="仿宋_GB2312" w:eastAsia="仿宋_GB2312"/>
                      <w:sz w:val="32"/>
                      <w:szCs w:val="32"/>
                    </w:rPr>
                  </w:pPr>
                  <w:r w:rsidRPr="00B607E1">
                    <w:rPr>
                      <w:rFonts w:hint="eastAsia"/>
                    </w:rPr>
                    <w:t>执法机构应当认真研究采纳法制机构提出的意见</w:t>
                  </w:r>
                  <w:r w:rsidRPr="00365BE9">
                    <w:rPr>
                      <w:rFonts w:ascii="仿宋_GB2312" w:eastAsia="仿宋_GB2312" w:hint="eastAsia"/>
                      <w:sz w:val="32"/>
                      <w:szCs w:val="32"/>
                    </w:rPr>
                    <w:t>，</w:t>
                  </w:r>
                  <w:r w:rsidRPr="00B607E1">
                    <w:rPr>
                      <w:rFonts w:hint="eastAsia"/>
                    </w:rPr>
                    <w:t>报市场监督管理部门负责人审查决定。</w:t>
                  </w:r>
                </w:p>
                <w:p w:rsidR="0056371A" w:rsidRPr="002C1CD4" w:rsidRDefault="0056371A" w:rsidP="00B607E1"/>
              </w:txbxContent>
            </v:textbox>
          </v:shape>
        </w:pict>
      </w:r>
      <w:r>
        <w:rPr>
          <w:rFonts w:ascii="黑体" w:eastAsia="黑体" w:hAnsi="宋体"/>
          <w:noProof/>
          <w:sz w:val="44"/>
          <w:szCs w:val="44"/>
        </w:rPr>
        <w:pict>
          <v:line id="_x0000_s1045" style="position:absolute;left:0;text-align:left;z-index:251679744" from="207pt,7.8pt" to="306pt,7.8pt"/>
        </w:pict>
      </w:r>
      <w:r>
        <w:rPr>
          <w:rFonts w:ascii="黑体" w:eastAsia="黑体" w:hAnsi="宋体"/>
          <w:noProof/>
          <w:sz w:val="44"/>
          <w:szCs w:val="44"/>
        </w:rPr>
        <w:pict>
          <v:line id="_x0000_s1044" style="position:absolute;left:0;text-align:left;z-index:251678720" from="63pt,7.8pt" to="134.25pt,7.8pt"/>
        </w:pict>
      </w:r>
      <w:r>
        <w:rPr>
          <w:rFonts w:ascii="黑体" w:eastAsia="黑体" w:hAnsi="宋体"/>
          <w:noProof/>
          <w:sz w:val="44"/>
          <w:szCs w:val="44"/>
        </w:rPr>
        <w:pict>
          <v:shape id="_x0000_s1038" type="#_x0000_t109" style="position:absolute;left:0;text-align:left;margin-left:279.75pt;margin-top:553.2pt;width:117.75pt;height:70.05pt;z-index:251672576">
            <v:textbox style="mso-next-textbox:#_x0000_s1038">
              <w:txbxContent>
                <w:p w:rsidR="0056371A" w:rsidRPr="00167E44" w:rsidRDefault="0056371A" w:rsidP="0056371A">
                  <w:pPr>
                    <w:jc w:val="center"/>
                    <w:rPr>
                      <w:b/>
                    </w:rPr>
                  </w:pPr>
                  <w:r w:rsidRPr="00167E44">
                    <w:rPr>
                      <w:rFonts w:hint="eastAsia"/>
                      <w:b/>
                    </w:rPr>
                    <w:t>行政处罚告知</w:t>
                  </w:r>
                </w:p>
              </w:txbxContent>
            </v:textbox>
          </v:shape>
        </w:pict>
      </w:r>
    </w:p>
    <w:p w:rsidR="0056371A" w:rsidRPr="00880A59" w:rsidRDefault="009C3B02" w:rsidP="0056371A">
      <w:pPr>
        <w:tabs>
          <w:tab w:val="center" w:pos="6979"/>
        </w:tabs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/>
          <w:noProof/>
          <w:sz w:val="44"/>
          <w:szCs w:val="44"/>
        </w:rPr>
        <w:pict>
          <v:line id="_x0000_s1046" style="position:absolute;left:0;text-align:left;z-index:251680768" from="345.75pt,18.15pt" to="401.25pt,18.15pt"/>
        </w:pict>
      </w:r>
      <w:r>
        <w:rPr>
          <w:rFonts w:ascii="黑体" w:eastAsia="黑体" w:hAnsi="宋体"/>
          <w:noProof/>
          <w:sz w:val="44"/>
          <w:szCs w:val="44"/>
        </w:rPr>
        <w:pict>
          <v:shape id="_x0000_s1026" type="#_x0000_t109" style="position:absolute;left:0;text-align:left;margin-left:-27.75pt;margin-top:0;width:61.5pt;height:249.9pt;z-index:251660288">
            <v:textbox style="mso-next-textbox:#_x0000_s1026">
              <w:txbxContent>
                <w:p w:rsidR="0056371A" w:rsidRPr="00A411AF" w:rsidRDefault="0056371A" w:rsidP="0056371A">
                  <w:pPr>
                    <w:jc w:val="center"/>
                    <w:rPr>
                      <w:sz w:val="24"/>
                      <w:szCs w:val="24"/>
                    </w:rPr>
                  </w:pPr>
                  <w:r w:rsidRPr="00A411AF">
                    <w:rPr>
                      <w:rFonts w:ascii="仿宋_GB2312" w:eastAsia="仿宋_GB2312" w:hint="eastAsia"/>
                      <w:sz w:val="24"/>
                      <w:szCs w:val="24"/>
                    </w:rPr>
                    <w:t>执法机构</w:t>
                  </w:r>
                  <w:r w:rsidRPr="00A411AF">
                    <w:rPr>
                      <w:rFonts w:hint="eastAsia"/>
                      <w:sz w:val="24"/>
                      <w:szCs w:val="24"/>
                    </w:rPr>
                    <w:t>申请</w:t>
                  </w:r>
                </w:p>
                <w:p w:rsidR="00A411AF" w:rsidRDefault="00A411AF" w:rsidP="0056371A">
                  <w:pPr>
                    <w:jc w:val="center"/>
                    <w:rPr>
                      <w:rFonts w:ascii="仿宋_GB2312" w:eastAsia="仿宋_GB2312"/>
                      <w:szCs w:val="21"/>
                    </w:rPr>
                  </w:pPr>
                </w:p>
                <w:p w:rsidR="00A411AF" w:rsidRDefault="00A411AF" w:rsidP="0056371A">
                  <w:pPr>
                    <w:jc w:val="center"/>
                    <w:rPr>
                      <w:rFonts w:ascii="仿宋_GB2312" w:eastAsia="仿宋_GB2312"/>
                      <w:szCs w:val="21"/>
                    </w:rPr>
                  </w:pPr>
                  <w:r w:rsidRPr="0056371A">
                    <w:rPr>
                      <w:rFonts w:ascii="仿宋_GB2312" w:eastAsia="仿宋_GB2312" w:hint="eastAsia"/>
                      <w:szCs w:val="21"/>
                    </w:rPr>
                    <w:t>执法机构</w:t>
                  </w:r>
                  <w:r w:rsidR="00996734">
                    <w:rPr>
                      <w:rFonts w:ascii="仿宋_GB2312" w:eastAsia="仿宋_GB2312" w:hint="eastAsia"/>
                      <w:szCs w:val="21"/>
                    </w:rPr>
                    <w:t xml:space="preserve">　</w:t>
                  </w:r>
                  <w:r>
                    <w:rPr>
                      <w:rFonts w:ascii="仿宋_GB2312" w:eastAsia="仿宋_GB2312" w:hint="eastAsia"/>
                      <w:szCs w:val="21"/>
                    </w:rPr>
                    <w:t>对符合重大行政</w:t>
                  </w:r>
                  <w:r w:rsidR="00996734">
                    <w:rPr>
                      <w:rFonts w:ascii="仿宋_GB2312" w:eastAsia="仿宋_GB2312" w:hint="eastAsia"/>
                      <w:szCs w:val="21"/>
                    </w:rPr>
                    <w:t xml:space="preserve">　　　　　　</w:t>
                  </w:r>
                  <w:r>
                    <w:rPr>
                      <w:rFonts w:ascii="仿宋_GB2312" w:eastAsia="仿宋_GB2312" w:hint="eastAsia"/>
                      <w:szCs w:val="21"/>
                    </w:rPr>
                    <w:t>执法决定条件的案件提交相关材料</w:t>
                  </w:r>
                </w:p>
                <w:p w:rsidR="00A411AF" w:rsidRDefault="00A411AF" w:rsidP="0056371A">
                  <w:pPr>
                    <w:jc w:val="center"/>
                  </w:pPr>
                  <w:r>
                    <w:rPr>
                      <w:rFonts w:ascii="仿宋_GB2312" w:eastAsia="仿宋_GB2312" w:hint="eastAsia"/>
                      <w:szCs w:val="21"/>
                    </w:rPr>
                    <w:t>承办岗位：执法机构</w:t>
                  </w:r>
                </w:p>
              </w:txbxContent>
            </v:textbox>
          </v:shape>
        </w:pict>
      </w:r>
    </w:p>
    <w:p w:rsidR="0056371A" w:rsidRDefault="0056371A" w:rsidP="0056371A">
      <w:pPr>
        <w:tabs>
          <w:tab w:val="center" w:pos="6979"/>
        </w:tabs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材料　　　　　　　</w:t>
      </w:r>
      <w:r w:rsidRPr="0056371A">
        <w:rPr>
          <w:rFonts w:ascii="仿宋_GB2312" w:eastAsia="仿宋_GB2312" w:hint="eastAsia"/>
          <w:szCs w:val="21"/>
        </w:rPr>
        <w:t>材料不齐全</w:t>
      </w:r>
      <w:r>
        <w:rPr>
          <w:rFonts w:ascii="仿宋_GB2312" w:eastAsia="仿宋_GB2312" w:hint="eastAsia"/>
          <w:szCs w:val="21"/>
        </w:rPr>
        <w:t>的</w:t>
      </w:r>
    </w:p>
    <w:p w:rsidR="00996734" w:rsidRDefault="009C3B02" w:rsidP="00996734">
      <w:pPr>
        <w:ind w:firstLineChars="4400" w:firstLine="19360"/>
        <w:rPr>
          <w:rFonts w:ascii="黑体" w:eastAsia="黑体" w:hAnsi="宋体"/>
        </w:rPr>
      </w:pPr>
      <w:r w:rsidRPr="009C3B02">
        <w:rPr>
          <w:rFonts w:ascii="黑体" w:eastAsia="黑体" w:hAnsi="宋体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15pt;margin-top:9.75pt;width:15pt;height:0;z-index:251673600" o:connectortype="straight">
            <v:stroke endarrow="block"/>
          </v:shape>
        </w:pict>
      </w:r>
      <w:r w:rsidR="0056371A">
        <w:rPr>
          <w:rFonts w:ascii="仿宋_GB2312" w:eastAsia="仿宋_GB2312" w:hint="eastAsia"/>
          <w:szCs w:val="21"/>
        </w:rPr>
        <w:t>应予</w:t>
      </w:r>
      <w:r w:rsidR="0056371A" w:rsidRPr="0056371A">
        <w:rPr>
          <w:rFonts w:ascii="仿宋_GB2312" w:eastAsia="仿宋_GB2312" w:hint="eastAsia"/>
          <w:szCs w:val="21"/>
        </w:rPr>
        <w:t>补齐</w:t>
      </w:r>
      <w:r w:rsidR="0056371A" w:rsidRPr="00880A59">
        <w:rPr>
          <w:rFonts w:ascii="黑体" w:eastAsia="黑体" w:hAnsi="宋体" w:hint="eastAsia"/>
          <w:sz w:val="44"/>
          <w:szCs w:val="44"/>
        </w:rPr>
        <w:tab/>
      </w:r>
      <w:r w:rsidR="00996734">
        <w:rPr>
          <w:rFonts w:ascii="黑体" w:eastAsia="黑体" w:hAnsi="宋体" w:hint="eastAsia"/>
          <w:sz w:val="44"/>
          <w:szCs w:val="44"/>
        </w:rPr>
        <w:t xml:space="preserve">　　　　　　　　　　　　　　　　　　　</w:t>
      </w:r>
      <w:r w:rsidR="00996734">
        <w:rPr>
          <w:rFonts w:ascii="黑体" w:eastAsia="黑体" w:hAnsi="宋体" w:hint="eastAsia"/>
        </w:rPr>
        <w:t>各分管领导</w:t>
      </w:r>
    </w:p>
    <w:p w:rsidR="00996734" w:rsidRPr="00880A59" w:rsidRDefault="00996734" w:rsidP="00996734">
      <w:pPr>
        <w:ind w:firstLineChars="4400" w:firstLine="9240"/>
        <w:rPr>
          <w:rFonts w:ascii="黑体" w:eastAsia="黑体" w:hAnsi="宋体"/>
        </w:rPr>
      </w:pPr>
      <w:r>
        <w:rPr>
          <w:rFonts w:ascii="黑体" w:eastAsia="黑体" w:hAnsi="宋体" w:hint="eastAsia"/>
        </w:rPr>
        <w:t>意见一致</w:t>
      </w:r>
    </w:p>
    <w:p w:rsidR="0056371A" w:rsidRPr="00880A59" w:rsidRDefault="009C3B02" w:rsidP="00F405EC">
      <w:pPr>
        <w:tabs>
          <w:tab w:val="left" w:pos="5085"/>
        </w:tabs>
        <w:ind w:firstLineChars="2400" w:firstLine="5040"/>
        <w:rPr>
          <w:rFonts w:ascii="黑体" w:eastAsia="黑体" w:hAnsi="宋体"/>
          <w:szCs w:val="21"/>
        </w:rPr>
      </w:pPr>
      <w:r>
        <w:rPr>
          <w:rFonts w:ascii="黑体" w:eastAsia="黑体" w:hAnsi="宋体"/>
          <w:noProof/>
          <w:szCs w:val="21"/>
        </w:rPr>
        <w:pict>
          <v:shape id="_x0000_s1054" type="#_x0000_t32" style="position:absolute;left:0;text-align:left;margin-left:419.3pt;margin-top:5.7pt;width:229.5pt;height:0;z-index:251687936" o:connectortype="straight">
            <v:stroke endarrow="block"/>
          </v:shape>
        </w:pict>
      </w:r>
      <w:r w:rsidRPr="009C3B02">
        <w:rPr>
          <w:rFonts w:ascii="黑体" w:eastAsia="黑体" w:hAnsi="宋体"/>
          <w:noProof/>
          <w:sz w:val="44"/>
          <w:szCs w:val="44"/>
        </w:rPr>
        <w:pict>
          <v:shape id="_x0000_s1041" type="#_x0000_t32" style="position:absolute;left:0;text-align:left;margin-left:648.8pt;margin-top:5.7pt;width:0;height:80.25pt;z-index:251675648" o:connectortype="straight">
            <v:stroke endarrow="block"/>
          </v:shape>
        </w:pict>
      </w:r>
      <w:r w:rsidRPr="009C3B02">
        <w:rPr>
          <w:rFonts w:ascii="黑体" w:eastAsia="黑体" w:hAnsi="宋体"/>
          <w:noProof/>
          <w:sz w:val="44"/>
          <w:szCs w:val="44"/>
        </w:rPr>
        <w:pict>
          <v:shape id="_x0000_s1031" type="#_x0000_t32" style="position:absolute;left:0;text-align:left;margin-left:134.25pt;margin-top:0;width:60pt;height:.05pt;z-index:251665408" o:connectortype="straight">
            <v:stroke endarrow="block"/>
          </v:shape>
        </w:pict>
      </w:r>
      <w:r w:rsidRPr="009C3B02">
        <w:rPr>
          <w:rFonts w:ascii="黑体" w:eastAsia="黑体" w:hAnsi="宋体"/>
          <w:noProof/>
          <w:sz w:val="44"/>
          <w:szCs w:val="44"/>
        </w:rPr>
        <w:pict>
          <v:shape id="_x0000_s1027" type="#_x0000_t32" style="position:absolute;left:0;text-align:left;margin-left:36pt;margin-top:0;width:27pt;height:0;z-index:251661312" o:connectortype="straight">
            <v:stroke endarrow="block"/>
          </v:shape>
        </w:pict>
      </w:r>
      <w:r w:rsidR="00996734">
        <w:rPr>
          <w:rFonts w:ascii="黑体" w:eastAsia="黑体" w:hAnsi="宋体" w:hint="eastAsia"/>
          <w:szCs w:val="21"/>
        </w:rPr>
        <w:t xml:space="preserve">　　　　　　　　　　　　　　　　　　　　　　　</w:t>
      </w:r>
    </w:p>
    <w:p w:rsidR="0056371A" w:rsidRPr="00880A59" w:rsidRDefault="0056371A" w:rsidP="0056371A">
      <w:pPr>
        <w:tabs>
          <w:tab w:val="left" w:pos="5085"/>
        </w:tabs>
        <w:rPr>
          <w:rFonts w:ascii="黑体" w:eastAsia="黑体" w:hAnsi="宋体"/>
          <w:szCs w:val="21"/>
        </w:rPr>
      </w:pPr>
    </w:p>
    <w:p w:rsidR="0056371A" w:rsidRPr="00880A59" w:rsidRDefault="0056371A" w:rsidP="0056371A">
      <w:pPr>
        <w:tabs>
          <w:tab w:val="left" w:pos="5085"/>
        </w:tabs>
        <w:ind w:firstLineChars="1150" w:firstLine="2415"/>
        <w:rPr>
          <w:rFonts w:ascii="黑体" w:eastAsia="黑体" w:hAnsi="宋体"/>
          <w:szCs w:val="21"/>
        </w:rPr>
      </w:pPr>
    </w:p>
    <w:p w:rsidR="0056371A" w:rsidRPr="00880A59" w:rsidRDefault="009C3B02" w:rsidP="00B607E1">
      <w:pPr>
        <w:tabs>
          <w:tab w:val="left" w:pos="5085"/>
        </w:tabs>
        <w:ind w:firstLineChars="1150" w:firstLine="5060"/>
        <w:rPr>
          <w:rFonts w:ascii="黑体" w:eastAsia="黑体" w:hAnsi="宋体"/>
          <w:szCs w:val="21"/>
        </w:rPr>
      </w:pPr>
      <w:r w:rsidRPr="009C3B02">
        <w:rPr>
          <w:rFonts w:ascii="黑体" w:eastAsia="黑体" w:hAnsi="宋体"/>
          <w:noProof/>
          <w:sz w:val="44"/>
          <w:szCs w:val="44"/>
        </w:rPr>
        <w:pict>
          <v:shape id="_x0000_s1036" type="#_x0000_t109" style="position:absolute;left:0;text-align:left;margin-left:6in;margin-top:14.4pt;width:103.5pt;height:181.8pt;z-index:251670528">
            <v:textbox style="mso-next-textbox:#_x0000_s1036">
              <w:txbxContent>
                <w:p w:rsidR="0056371A" w:rsidRDefault="00B607E1" w:rsidP="0056371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分别报分管局长审批</w:t>
                  </w:r>
                </w:p>
                <w:p w:rsidR="0056371A" w:rsidRDefault="00B607E1" w:rsidP="0056371A">
                  <w:r w:rsidRPr="00B607E1">
                    <w:rPr>
                      <w:rFonts w:hint="eastAsia"/>
                    </w:rPr>
                    <w:t>执法机构对法制审核意见有异议的，可以提出书面申请，要求法制机构复审一次。经复审，执法机构仍不同意法制审核意见的，分别提交分管局领导决定</w:t>
                  </w:r>
                </w:p>
              </w:txbxContent>
            </v:textbox>
          </v:shape>
        </w:pict>
      </w:r>
    </w:p>
    <w:p w:rsidR="0056371A" w:rsidRPr="00880A59" w:rsidRDefault="009C3B02" w:rsidP="0056371A">
      <w:pPr>
        <w:tabs>
          <w:tab w:val="left" w:pos="5085"/>
        </w:tabs>
        <w:ind w:firstLineChars="1150" w:firstLine="2415"/>
        <w:rPr>
          <w:rFonts w:ascii="黑体" w:eastAsia="黑体" w:hAnsi="宋体"/>
          <w:sz w:val="44"/>
          <w:szCs w:val="44"/>
        </w:rPr>
      </w:pPr>
      <w:r w:rsidRPr="009C3B02">
        <w:rPr>
          <w:rFonts w:ascii="黑体" w:eastAsia="黑体" w:hAnsi="宋体"/>
          <w:noProof/>
          <w:szCs w:val="21"/>
        </w:rPr>
        <w:pict>
          <v:shape id="_x0000_s1037" type="#_x0000_t109" style="position:absolute;left:0;text-align:left;margin-left:612.75pt;margin-top:23.55pt;width:126pt;height:153.3pt;z-index:251671552">
            <v:textbox style="mso-next-textbox:#_x0000_s1037">
              <w:txbxContent>
                <w:p w:rsidR="0056371A" w:rsidRPr="00996734" w:rsidRDefault="00996734" w:rsidP="0056371A">
                  <w:pPr>
                    <w:jc w:val="center"/>
                  </w:pPr>
                  <w:r w:rsidRPr="00996734">
                    <w:rPr>
                      <w:rFonts w:hint="eastAsia"/>
                    </w:rPr>
                    <w:t>部门负责人会议集体讨论</w:t>
                  </w:r>
                </w:p>
                <w:p w:rsidR="0056371A" w:rsidRDefault="0056371A" w:rsidP="0056371A"/>
                <w:p w:rsidR="0056371A" w:rsidRPr="00CC651E" w:rsidRDefault="00996734" w:rsidP="00996734">
                  <w:r w:rsidRPr="00996734">
                    <w:rPr>
                      <w:rFonts w:hint="eastAsia"/>
                    </w:rPr>
                    <w:t>分管局领导意见不一致的，</w:t>
                  </w:r>
                  <w:r w:rsidR="006476D3">
                    <w:rPr>
                      <w:rFonts w:hint="eastAsia"/>
                    </w:rPr>
                    <w:t>或重大复杂案件，</w:t>
                  </w:r>
                  <w:r w:rsidRPr="00996734">
                    <w:rPr>
                      <w:rFonts w:hint="eastAsia"/>
                    </w:rPr>
                    <w:t>由部门主要领导召开部门负责人会议集体讨论决定</w:t>
                  </w:r>
                </w:p>
              </w:txbxContent>
            </v:textbox>
          </v:shape>
        </w:pict>
      </w:r>
      <w:r w:rsidR="0056371A" w:rsidRPr="00880A59">
        <w:rPr>
          <w:rFonts w:ascii="黑体" w:eastAsia="黑体" w:hAnsi="宋体" w:hint="eastAsia"/>
          <w:szCs w:val="21"/>
        </w:rPr>
        <w:t xml:space="preserve"> </w:t>
      </w:r>
    </w:p>
    <w:p w:rsidR="0056371A" w:rsidRPr="00880A59" w:rsidRDefault="009C3B02" w:rsidP="0056371A">
      <w:pPr>
        <w:rPr>
          <w:rFonts w:ascii="黑体" w:eastAsia="黑体" w:hAnsi="宋体"/>
        </w:rPr>
      </w:pPr>
      <w:r w:rsidRPr="009C3B02">
        <w:rPr>
          <w:rFonts w:ascii="黑体" w:eastAsia="黑体" w:hAnsi="宋体"/>
          <w:noProof/>
          <w:sz w:val="44"/>
          <w:szCs w:val="44"/>
        </w:rPr>
        <w:pict>
          <v:line id="_x0000_s1047" style="position:absolute;left:0;text-align:left;z-index:251681792" from="6in,.6pt" to="535.5pt,.6pt"/>
        </w:pict>
      </w:r>
    </w:p>
    <w:p w:rsidR="0056371A" w:rsidRPr="00880A59" w:rsidRDefault="009C3B02" w:rsidP="0056371A">
      <w:pPr>
        <w:rPr>
          <w:rFonts w:ascii="黑体" w:eastAsia="黑体" w:hAnsi="宋体"/>
        </w:rPr>
      </w:pPr>
      <w:r>
        <w:rPr>
          <w:rFonts w:ascii="黑体" w:eastAsia="黑体" w:hAnsi="宋体"/>
          <w:noProof/>
        </w:rPr>
        <w:pict>
          <v:shape id="_x0000_s1051" type="#_x0000_t109" style="position:absolute;left:0;text-align:left;margin-left:333pt;margin-top:1.5pt;width:77.25pt;height:118.95pt;z-index:251684864">
            <v:textbox style="mso-next-textbox:#_x0000_s1051">
              <w:txbxContent>
                <w:p w:rsidR="00B607E1" w:rsidRDefault="00B607E1" w:rsidP="00B607E1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申请复核</w:t>
                  </w:r>
                </w:p>
                <w:p w:rsidR="00B607E1" w:rsidRDefault="00B607E1" w:rsidP="00B607E1">
                  <w:r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714375" cy="9525"/>
                        <wp:effectExtent l="0" t="0" r="0" b="0"/>
                        <wp:docPr id="5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607E1" w:rsidRPr="002C1CD4" w:rsidRDefault="00B607E1" w:rsidP="00B607E1">
                  <w:r>
                    <w:rPr>
                      <w:rFonts w:hint="eastAsia"/>
                    </w:rPr>
                    <w:t>执法机构不同意法制核审意见的，可以要求复核一次</w:t>
                  </w:r>
                </w:p>
              </w:txbxContent>
            </v:textbox>
          </v:shape>
        </w:pict>
      </w:r>
    </w:p>
    <w:p w:rsidR="0056371A" w:rsidRPr="00880A59" w:rsidRDefault="009C3B02" w:rsidP="0056371A">
      <w:pPr>
        <w:rPr>
          <w:rFonts w:ascii="黑体" w:eastAsia="黑体" w:hAnsi="宋体"/>
        </w:rPr>
      </w:pPr>
      <w:r w:rsidRPr="009C3B02">
        <w:rPr>
          <w:rFonts w:ascii="黑体" w:eastAsia="黑体" w:hAnsi="宋体"/>
          <w:noProof/>
          <w:sz w:val="44"/>
          <w:szCs w:val="44"/>
        </w:rPr>
        <w:pict>
          <v:line id="_x0000_s1048" style="position:absolute;left:0;text-align:left;z-index:251682816" from="612.75pt,6.15pt" to="727.5pt,6.15pt"/>
        </w:pict>
      </w:r>
    </w:p>
    <w:p w:rsidR="00996734" w:rsidRDefault="00996734" w:rsidP="0056371A">
      <w:pPr>
        <w:rPr>
          <w:rFonts w:ascii="黑体" w:eastAsia="黑体" w:hAnsi="宋体"/>
        </w:rPr>
      </w:pPr>
      <w:r>
        <w:rPr>
          <w:rFonts w:ascii="黑体" w:eastAsia="黑体" w:hAnsi="宋体" w:hint="eastAsia"/>
        </w:rPr>
        <w:t xml:space="preserve">　　　　　　　　　　　　　　　　　　　　　　　　　　　　　　　　　　　　　　　　　　　　　　　　　　　　　各分管领导</w:t>
      </w:r>
    </w:p>
    <w:p w:rsidR="000453EF" w:rsidRPr="00E03343" w:rsidRDefault="00E03343" w:rsidP="00E03343">
      <w:pPr>
        <w:ind w:firstLineChars="5300" w:firstLine="11130"/>
        <w:rPr>
          <w:rFonts w:ascii="黑体" w:eastAsia="黑体" w:hAnsi="宋体"/>
        </w:rPr>
      </w:pPr>
      <w:r w:rsidRPr="009C3B02">
        <w:rPr>
          <w:rFonts w:ascii="黑体" w:eastAsia="黑体" w:hAnsi="宋体"/>
          <w:noProof/>
        </w:rPr>
        <w:pict>
          <v:shape id="_x0000_s1053" type="#_x0000_t32" style="position:absolute;left:0;text-align:left;margin-left:540.75pt;margin-top:24.15pt;width:77.25pt;height:0;z-index:251686912" o:connectortype="straight">
            <v:stroke endarrow="block"/>
          </v:shape>
        </w:pict>
      </w:r>
      <w:r w:rsidRPr="009C3B02">
        <w:rPr>
          <w:rFonts w:ascii="黑体" w:eastAsia="黑体" w:hAnsi="宋体"/>
          <w:noProof/>
        </w:rPr>
        <w:pict>
          <v:shape id="_x0000_s1052" type="#_x0000_t32" style="position:absolute;left:0;text-align:left;margin-left:410.25pt;margin-top:18pt;width:15pt;height:0;z-index:251685888" o:connectortype="straight">
            <v:stroke endarrow="block"/>
          </v:shape>
        </w:pict>
      </w:r>
      <w:r w:rsidRPr="009C3B02">
        <w:rPr>
          <w:rFonts w:ascii="黑体" w:eastAsia="黑体" w:hAnsi="宋体"/>
          <w:noProof/>
        </w:rPr>
        <w:pict>
          <v:shape id="_x0000_s1050" type="#_x0000_t32" style="position:absolute;left:0;text-align:left;margin-left:318pt;margin-top:24.15pt;width:15pt;height:0;z-index:251683840" o:connectortype="straight">
            <v:stroke endarrow="block"/>
          </v:shape>
        </w:pict>
      </w:r>
      <w:r w:rsidR="00996734">
        <w:rPr>
          <w:rFonts w:ascii="黑体" w:eastAsia="黑体" w:hAnsi="宋体" w:hint="eastAsia"/>
        </w:rPr>
        <w:t>意见不一致</w:t>
      </w:r>
    </w:p>
    <w:sectPr w:rsidR="000453EF" w:rsidRPr="00E03343" w:rsidSect="005637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981" w:rsidRDefault="000A7981" w:rsidP="00F405EC">
      <w:r>
        <w:separator/>
      </w:r>
    </w:p>
  </w:endnote>
  <w:endnote w:type="continuationSeparator" w:id="1">
    <w:p w:rsidR="000A7981" w:rsidRDefault="000A7981" w:rsidP="00F40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981" w:rsidRDefault="000A7981" w:rsidP="00F405EC">
      <w:r>
        <w:separator/>
      </w:r>
    </w:p>
  </w:footnote>
  <w:footnote w:type="continuationSeparator" w:id="1">
    <w:p w:rsidR="000A7981" w:rsidRDefault="000A7981" w:rsidP="00F40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71A"/>
    <w:rsid w:val="000453EF"/>
    <w:rsid w:val="000A7981"/>
    <w:rsid w:val="0022769C"/>
    <w:rsid w:val="00256FF9"/>
    <w:rsid w:val="0056371A"/>
    <w:rsid w:val="006476D3"/>
    <w:rsid w:val="009434B0"/>
    <w:rsid w:val="00996734"/>
    <w:rsid w:val="009C3B02"/>
    <w:rsid w:val="00A411AF"/>
    <w:rsid w:val="00B607E1"/>
    <w:rsid w:val="00B91088"/>
    <w:rsid w:val="00E03343"/>
    <w:rsid w:val="00F405EC"/>
    <w:rsid w:val="00F4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41"/>
        <o:r id="V:Rule10" type="connector" idref="#_x0000_s1027"/>
        <o:r id="V:Rule11" type="connector" idref="#_x0000_s1050"/>
        <o:r id="V:Rule12" type="connector" idref="#_x0000_s1039"/>
        <o:r id="V:Rule13" type="connector" idref="#_x0000_s1053"/>
        <o:r id="V:Rule14" type="connector" idref="#_x0000_s1031"/>
        <o:r id="V:Rule15" type="connector" idref="#_x0000_s1052"/>
        <o:r id="V:Rule16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11A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11AF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40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405E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40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405E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dcterms:created xsi:type="dcterms:W3CDTF">2019-07-29T07:30:00Z</dcterms:created>
  <dcterms:modified xsi:type="dcterms:W3CDTF">2020-08-26T02:05:00Z</dcterms:modified>
</cp:coreProperties>
</file>