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67.080.10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24</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2104</w:t>
            </w:r>
            <w:r>
              <w:fldChar w:fldCharType="end"/>
            </w:r>
            <w:bookmarkEnd w:id="3"/>
          </w:p>
        </w:tc>
      </w:tr>
    </w:tbl>
    <w:p>
      <w:pPr>
        <w:pStyle w:val="52"/>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抚顺市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2104</w:t>
      </w:r>
      <w: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eastAsia="zh-CN"/>
        </w:rPr>
        <w:t>0</w:t>
      </w:r>
      <w:r>
        <w:rPr>
          <w:rFonts w:hint="eastAsia"/>
          <w:lang w:val="en-US" w:eastAsia="zh-CN"/>
        </w:rPr>
        <w:t>031</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eastAsia="zh-CN"/>
        </w:rPr>
        <w:t>2</w:t>
      </w:r>
      <w:r>
        <w:rPr>
          <w:rFonts w:hint="eastAsia"/>
          <w:lang w:val="en-US" w:eastAsia="zh-CN"/>
        </w:rPr>
        <w:t>023</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地理标志产品 三块石大果榛子</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Product of </w:t>
      </w:r>
      <w:r>
        <w:rPr>
          <w:rFonts w:hint="eastAsia" w:ascii="黑体" w:hAnsi="黑体" w:eastAsia="黑体"/>
          <w:szCs w:val="28"/>
        </w:rPr>
        <w:t>g</w:t>
      </w:r>
      <w:r>
        <w:rPr>
          <w:rFonts w:ascii="黑体" w:hAnsi="黑体" w:eastAsia="黑体"/>
          <w:szCs w:val="28"/>
        </w:rPr>
        <w:t xml:space="preserve">eographical </w:t>
      </w:r>
      <w:r>
        <w:rPr>
          <w:rFonts w:hint="eastAsia" w:ascii="黑体" w:hAnsi="黑体" w:eastAsia="黑体"/>
          <w:szCs w:val="28"/>
        </w:rPr>
        <w:t>i</w:t>
      </w:r>
      <w:r>
        <w:rPr>
          <w:rFonts w:ascii="黑体" w:hAnsi="黑体" w:eastAsia="黑体"/>
          <w:szCs w:val="28"/>
        </w:rPr>
        <w:t xml:space="preserve">ndications——Three </w:t>
      </w:r>
      <w:r>
        <w:rPr>
          <w:rFonts w:hint="eastAsia" w:ascii="黑体" w:hAnsi="黑体" w:eastAsia="黑体"/>
          <w:szCs w:val="28"/>
        </w:rPr>
        <w:t>S</w:t>
      </w:r>
      <w:r>
        <w:rPr>
          <w:rFonts w:ascii="黑体" w:hAnsi="黑体" w:eastAsia="黑体"/>
          <w:szCs w:val="28"/>
        </w:rPr>
        <w:t>tone</w:t>
      </w:r>
      <w:r>
        <w:rPr>
          <w:rFonts w:hint="eastAsia" w:ascii="黑体" w:hAnsi="黑体" w:eastAsia="黑体"/>
          <w:szCs w:val="28"/>
        </w:rPr>
        <w:t xml:space="preserve"> </w:t>
      </w:r>
      <w:r>
        <w:rPr>
          <w:rFonts w:ascii="黑体" w:hAnsi="黑体" w:eastAsia="黑体"/>
          <w:szCs w:val="28"/>
        </w:rPr>
        <w:t>Big hazelnut</w:t>
      </w:r>
      <w:r>
        <w:rPr>
          <w:rFonts w:hint="eastAsia" w:ascii="黑体" w:hAnsi="黑体" w:eastAsia="黑体"/>
          <w:szCs w:val="28"/>
        </w:rPr>
        <w:t xml:space="preserve">s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0</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7</w:t>
      </w:r>
      <w:r>
        <w:rPr>
          <w:rFonts w:ascii="黑体"/>
        </w:rPr>
        <w:fldChar w:fldCharType="end"/>
      </w:r>
      <w:bookmarkEnd w:id="16"/>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1</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7</w:t>
      </w:r>
      <w:bookmarkStart w:id="46" w:name="_GoBack"/>
      <w:bookmarkEnd w:id="46"/>
      <w:r>
        <w:rPr>
          <w:rFonts w:ascii="黑体"/>
        </w:rPr>
        <w:fldChar w:fldCharType="end"/>
      </w:r>
      <w:bookmarkEnd w:id="19"/>
      <w:r>
        <w:rPr>
          <w:rFonts w:hint="eastAsia"/>
        </w:rPr>
        <w:t>实施</w:t>
      </w:r>
    </w:p>
    <w:p>
      <w:pPr>
        <w:pStyle w:val="153"/>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抚顺市市场监督管理局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before="900" w:after="468"/>
      </w:pPr>
      <w:bookmarkStart w:id="21" w:name="BookMark2"/>
      <w:r>
        <w:rPr>
          <w:spacing w:val="320"/>
        </w:rPr>
        <w:t>前</w:t>
      </w:r>
      <w:r>
        <w:t>言</w:t>
      </w:r>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本文件依据原国家质量监督检验检疫总局[2005]第78号令《地理标志产品保护规定》和GB/T 17924《地理标志产品 标准通用要求》而制定。</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本文件由抚顺市知识产权局提出。</w:t>
      </w:r>
    </w:p>
    <w:p>
      <w:pPr>
        <w:pStyle w:val="58"/>
        <w:ind w:firstLine="420"/>
      </w:pPr>
      <w:r>
        <w:rPr>
          <w:rFonts w:hint="eastAsia"/>
        </w:rPr>
        <w:t>本文件由抚顺市林业和草原局归口。</w:t>
      </w:r>
    </w:p>
    <w:p>
      <w:pPr>
        <w:spacing w:line="240" w:lineRule="auto"/>
        <w:ind w:firstLine="420" w:firstLineChars="200"/>
        <w:rPr>
          <w:rFonts w:ascii="宋体" w:hAnsi="Times New Roman"/>
          <w:kern w:val="0"/>
          <w:szCs w:val="20"/>
        </w:rPr>
      </w:pPr>
      <w:r>
        <w:rPr>
          <w:rFonts w:hint="eastAsia"/>
        </w:rPr>
        <w:t>本文件起草单位：</w:t>
      </w:r>
      <w:r>
        <w:rPr>
          <w:rFonts w:hint="eastAsia" w:ascii="宋体" w:hAnsi="Times New Roman"/>
          <w:kern w:val="0"/>
          <w:szCs w:val="20"/>
        </w:rPr>
        <w:t>抚顺市检验检测认证中心、抚顺市知识产权标准认证服务中心、抚顺县自然资源事务服务中心、抚顺市食品检验检测所。</w:t>
      </w:r>
    </w:p>
    <w:p>
      <w:pPr>
        <w:pStyle w:val="58"/>
        <w:ind w:firstLine="420"/>
        <w:rPr>
          <w:rFonts w:ascii="Calibri" w:hAnsi="Calibri"/>
          <w:kern w:val="2"/>
          <w:szCs w:val="21"/>
        </w:rPr>
      </w:pPr>
      <w:r>
        <w:rPr>
          <w:rFonts w:hint="eastAsia"/>
        </w:rPr>
        <w:t>本文件主要起草人：</w:t>
      </w:r>
      <w:r>
        <w:rPr>
          <w:rFonts w:hint="eastAsia" w:ascii="Calibri" w:hAnsi="Calibri"/>
          <w:kern w:val="2"/>
          <w:szCs w:val="21"/>
        </w:rPr>
        <w:t>宋晓光、林洋、王红、孙凯、盛金、高冬、王穆涵、魏頔、吴绍君、林晓明、依迪思、姜晨、王俊峰、王楠、董航、张晓伟、张聪、鄂翠华、马祎明。</w:t>
      </w:r>
    </w:p>
    <w:p>
      <w:pPr>
        <w:pStyle w:val="58"/>
        <w:ind w:firstLine="199" w:firstLineChars="95"/>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8C605DA45A264B91A6ECC23F4DE41A38"/>
        </w:placeholder>
      </w:sdtPr>
      <w:sdtContent>
        <w:p>
          <w:pPr>
            <w:pStyle w:val="179"/>
            <w:spacing w:before="3" w:beforeLines="1" w:after="686" w:afterLines="220"/>
          </w:pPr>
          <w:bookmarkStart w:id="23" w:name="NEW_STAND_NAME"/>
          <w:r>
            <w:rPr>
              <w:rFonts w:hint="eastAsia"/>
            </w:rPr>
            <w:t>地理标志产品</w:t>
          </w:r>
          <w:r>
            <w:t xml:space="preserve"> 三块石大果榛子</w:t>
          </w:r>
        </w:p>
      </w:sdtContent>
    </w:sdt>
    <w:bookmarkEnd w:id="23"/>
    <w:p>
      <w:pPr>
        <w:pStyle w:val="106"/>
        <w:spacing w:before="312" w:after="312"/>
      </w:pPr>
      <w:bookmarkStart w:id="24" w:name="_Toc24884218"/>
      <w:bookmarkStart w:id="25" w:name="_Toc17233325"/>
      <w:bookmarkStart w:id="26" w:name="_Toc26718930"/>
      <w:bookmarkStart w:id="27" w:name="_Toc17233333"/>
      <w:bookmarkStart w:id="28" w:name="_Toc26986530"/>
      <w:bookmarkStart w:id="29" w:name="_Toc26986771"/>
      <w:bookmarkStart w:id="30" w:name="_Toc26648465"/>
      <w:bookmarkStart w:id="31" w:name="_Toc24884211"/>
      <w:bookmarkStart w:id="32" w:name="_Toc97191423"/>
      <w:r>
        <w:rPr>
          <w:rFonts w:hint="eastAsia"/>
        </w:rPr>
        <w:t>范围</w:t>
      </w:r>
      <w:bookmarkEnd w:id="24"/>
      <w:bookmarkEnd w:id="25"/>
      <w:bookmarkEnd w:id="26"/>
      <w:bookmarkEnd w:id="27"/>
      <w:bookmarkEnd w:id="28"/>
      <w:bookmarkEnd w:id="29"/>
      <w:bookmarkEnd w:id="30"/>
      <w:bookmarkEnd w:id="31"/>
      <w:bookmarkEnd w:id="32"/>
    </w:p>
    <w:p>
      <w:pPr>
        <w:pStyle w:val="58"/>
        <w:ind w:firstLine="420"/>
      </w:pPr>
      <w:bookmarkStart w:id="33" w:name="_Toc26648466"/>
      <w:bookmarkStart w:id="34" w:name="_Toc17233334"/>
      <w:bookmarkStart w:id="35" w:name="_Toc24884212"/>
      <w:bookmarkStart w:id="36" w:name="_Toc24884219"/>
      <w:bookmarkStart w:id="37" w:name="_Toc17233326"/>
      <w:r>
        <w:rPr>
          <w:rFonts w:hint="eastAsia"/>
        </w:rPr>
        <w:t>本文件规定了地理标志产品大果榛子的术语和定义、地理标志产品保护范围、自然环境条件、栽培管理、要求及检验方法、生产加工过程卫生要求、标志、包装、运输和贮存。</w:t>
      </w:r>
    </w:p>
    <w:p>
      <w:pPr>
        <w:pStyle w:val="58"/>
        <w:ind w:firstLine="420"/>
      </w:pPr>
      <w:r>
        <w:rPr>
          <w:rFonts w:hint="eastAsia"/>
        </w:rPr>
        <w:t>本文件适用于三块石大果榛子地理标志产品保护范围内的人工栽培的大果榛子。</w:t>
      </w:r>
    </w:p>
    <w:p>
      <w:pPr>
        <w:pStyle w:val="106"/>
        <w:spacing w:before="312" w:after="312"/>
      </w:pPr>
      <w:bookmarkStart w:id="38" w:name="_Toc26986772"/>
      <w:bookmarkStart w:id="39" w:name="_Toc26986531"/>
      <w:bookmarkStart w:id="40" w:name="_Toc97191424"/>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8C5CA7F1F6CF4664AD571A8DD4B6B0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rPr>
          <w:rFonts w:hint="eastAsia"/>
        </w:rPr>
        <w:t>GB/T 191 包装储运图示标志</w:t>
      </w:r>
    </w:p>
    <w:p>
      <w:pPr>
        <w:pStyle w:val="58"/>
        <w:ind w:firstLine="420"/>
      </w:pPr>
      <w:r>
        <w:rPr>
          <w:rFonts w:hint="eastAsia"/>
        </w:rPr>
        <w:t>GB 2761 食品安全国家标准 食品中真菌毒素限量</w:t>
      </w:r>
    </w:p>
    <w:p>
      <w:pPr>
        <w:pStyle w:val="58"/>
        <w:ind w:firstLine="420"/>
      </w:pPr>
      <w:r>
        <w:rPr>
          <w:rFonts w:hint="eastAsia"/>
        </w:rPr>
        <w:t>GB 2762 食品安全国家标准 食品中污染物限量</w:t>
      </w:r>
    </w:p>
    <w:p>
      <w:pPr>
        <w:pStyle w:val="232"/>
      </w:pPr>
      <w:r>
        <w:rPr>
          <w:rFonts w:hint="eastAsia"/>
        </w:rPr>
        <w:t>GB 2763 食品安全国家标准 食品中农药最大残留限量</w:t>
      </w:r>
    </w:p>
    <w:p>
      <w:pPr>
        <w:pStyle w:val="232"/>
      </w:pPr>
      <w:r>
        <w:rPr>
          <w:rFonts w:hint="eastAsia"/>
        </w:rPr>
        <w:t>GB 4789.3 食品安全国家标准 食品微生物学检验  大肠菌群计数</w:t>
      </w:r>
    </w:p>
    <w:p>
      <w:pPr>
        <w:pStyle w:val="232"/>
      </w:pPr>
      <w:r>
        <w:rPr>
          <w:rFonts w:hint="eastAsia"/>
        </w:rPr>
        <w:t>GB 4789.15 食品安全国家标准 食品微生物学检验  霉菌和酵母计数</w:t>
      </w:r>
    </w:p>
    <w:p>
      <w:pPr>
        <w:pStyle w:val="232"/>
      </w:pPr>
      <w:r>
        <w:rPr>
          <w:rFonts w:hint="eastAsia"/>
        </w:rPr>
        <w:t>GB 5009.3 食品安全国家标准 食品中水分的测定</w:t>
      </w:r>
    </w:p>
    <w:p>
      <w:pPr>
        <w:pStyle w:val="232"/>
      </w:pPr>
      <w:r>
        <w:rPr>
          <w:rFonts w:hint="eastAsia"/>
        </w:rPr>
        <w:t>GB 5009.5 食品安全国家标准 食品中蛋白质的测定</w:t>
      </w:r>
    </w:p>
    <w:p>
      <w:pPr>
        <w:pStyle w:val="232"/>
      </w:pPr>
      <w:r>
        <w:rPr>
          <w:rFonts w:hint="eastAsia"/>
        </w:rPr>
        <w:t>GB 5009.6 食品中脂肪的测定</w:t>
      </w:r>
    </w:p>
    <w:p>
      <w:pPr>
        <w:pStyle w:val="232"/>
      </w:pPr>
      <w:r>
        <w:rPr>
          <w:rFonts w:hint="eastAsia"/>
        </w:rPr>
        <w:t>GB 5009.22 食品中黄曲霉毒素B</w:t>
      </w:r>
      <w:r>
        <w:rPr>
          <w:rFonts w:hint="eastAsia"/>
          <w:vertAlign w:val="subscript"/>
        </w:rPr>
        <w:t>1</w:t>
      </w:r>
      <w:r>
        <w:rPr>
          <w:rFonts w:hint="eastAsia"/>
        </w:rPr>
        <w:t>的测定</w:t>
      </w:r>
    </w:p>
    <w:p>
      <w:pPr>
        <w:pStyle w:val="232"/>
      </w:pPr>
      <w:r>
        <w:rPr>
          <w:rFonts w:hint="eastAsia"/>
        </w:rPr>
        <w:t>GB 5009.227 食品安全国家标准 食品中过氧化值的测定</w:t>
      </w:r>
    </w:p>
    <w:p>
      <w:pPr>
        <w:pStyle w:val="232"/>
      </w:pPr>
      <w:r>
        <w:rPr>
          <w:rFonts w:hint="eastAsia"/>
        </w:rPr>
        <w:t>GB 5009.229 食品安全国家标准 食品中酸价的测定</w:t>
      </w:r>
    </w:p>
    <w:p>
      <w:pPr>
        <w:pStyle w:val="232"/>
      </w:pPr>
      <w:r>
        <w:rPr>
          <w:rFonts w:hint="eastAsia"/>
        </w:rPr>
        <w:t>GB 7718 食品安全国家标准 预包装食品标签通则</w:t>
      </w:r>
    </w:p>
    <w:p>
      <w:pPr>
        <w:pStyle w:val="232"/>
      </w:pPr>
      <w:r>
        <w:rPr>
          <w:rFonts w:hint="eastAsia"/>
        </w:rPr>
        <w:t>GB 14881 食品企业通用卫生规范</w:t>
      </w:r>
    </w:p>
    <w:p>
      <w:pPr>
        <w:pStyle w:val="232"/>
      </w:pPr>
      <w:r>
        <w:rPr>
          <w:rFonts w:hint="eastAsia"/>
        </w:rPr>
        <w:t>GB 19300 食品安全国家标准 坚果与籽类食品</w:t>
      </w:r>
    </w:p>
    <w:p>
      <w:pPr>
        <w:pStyle w:val="232"/>
        <w:rPr>
          <w:rFonts w:hAnsi="宋体"/>
        </w:rPr>
      </w:pPr>
      <w:r>
        <w:rPr>
          <w:rFonts w:hint="eastAsia" w:hAnsi="宋体"/>
        </w:rPr>
        <w:t>GB 28050 食品安全国家标准 预包装食品营养标签通则</w:t>
      </w:r>
    </w:p>
    <w:p>
      <w:pPr>
        <w:pStyle w:val="232"/>
        <w:rPr>
          <w:szCs w:val="21"/>
        </w:rPr>
      </w:pPr>
      <w:r>
        <w:rPr>
          <w:rFonts w:hint="eastAsia" w:hAnsi="宋体"/>
        </w:rPr>
        <w:t>NY/T 496 肥料合理使用准则、通则</w:t>
      </w:r>
    </w:p>
    <w:p>
      <w:pPr>
        <w:pStyle w:val="232"/>
      </w:pPr>
      <w:r>
        <w:rPr>
          <w:rFonts w:hint="eastAsia"/>
        </w:rPr>
        <w:t>JJF 1070 定量包装商品净含量计量检验规则</w:t>
      </w:r>
    </w:p>
    <w:p>
      <w:pPr>
        <w:pStyle w:val="232"/>
      </w:pPr>
      <w:r>
        <w:rPr>
          <w:rFonts w:hint="eastAsia"/>
          <w:szCs w:val="21"/>
        </w:rPr>
        <w:t>LY/T 1650 榛子坚果 平榛、平欧杂种榛</w:t>
      </w:r>
    </w:p>
    <w:p>
      <w:pPr>
        <w:pStyle w:val="106"/>
        <w:spacing w:before="312" w:after="312"/>
      </w:pPr>
      <w:bookmarkStart w:id="42" w:name="_Toc97191425"/>
      <w:r>
        <w:rPr>
          <w:rFonts w:hint="eastAsia"/>
          <w:szCs w:val="21"/>
        </w:rPr>
        <w:t>术语和定义</w:t>
      </w:r>
      <w:bookmarkEnd w:id="42"/>
    </w:p>
    <w:sdt>
      <w:sdtPr>
        <w:id w:val="-1909835108"/>
        <w:placeholder>
          <w:docPart w:val="CC3E433871BA46B69262601DAB8CB35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3" w:name="_Toc26986532"/>
          <w:bookmarkEnd w:id="43"/>
          <w:r>
            <w:rPr>
              <w:rFonts w:hint="eastAsia"/>
            </w:rPr>
            <w:t>LY/T 1650界定的以及下列术语和定义适用于本文件。</w:t>
          </w:r>
        </w:p>
      </w:sdtContent>
    </w:sdt>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三块石大果榛子 </w:t>
      </w:r>
      <w:r>
        <w:rPr>
          <w:rFonts w:ascii="黑体" w:hAnsi="黑体" w:eastAsia="黑体"/>
          <w:szCs w:val="28"/>
        </w:rPr>
        <w:t xml:space="preserve">Three </w:t>
      </w:r>
      <w:r>
        <w:rPr>
          <w:rFonts w:hint="eastAsia" w:ascii="黑体" w:hAnsi="黑体" w:eastAsia="黑体"/>
          <w:szCs w:val="28"/>
        </w:rPr>
        <w:t>S</w:t>
      </w:r>
      <w:r>
        <w:rPr>
          <w:rFonts w:ascii="黑体" w:hAnsi="黑体" w:eastAsia="黑体"/>
          <w:szCs w:val="28"/>
        </w:rPr>
        <w:t>tone</w:t>
      </w:r>
      <w:r>
        <w:rPr>
          <w:rFonts w:hint="eastAsia" w:ascii="黑体" w:hAnsi="黑体" w:eastAsia="黑体"/>
          <w:szCs w:val="28"/>
        </w:rPr>
        <w:t xml:space="preserve"> </w:t>
      </w:r>
      <w:r>
        <w:rPr>
          <w:rFonts w:ascii="黑体" w:hAnsi="黑体" w:eastAsia="黑体"/>
          <w:szCs w:val="28"/>
        </w:rPr>
        <w:t>Big hazelnut</w:t>
      </w:r>
      <w:r>
        <w:rPr>
          <w:rFonts w:hint="eastAsia" w:ascii="黑体" w:hAnsi="黑体" w:eastAsia="黑体"/>
          <w:szCs w:val="28"/>
        </w:rPr>
        <w:t>s</w:t>
      </w:r>
    </w:p>
    <w:p>
      <w:pPr>
        <w:pStyle w:val="235"/>
        <w:numPr>
          <w:ilvl w:val="0"/>
          <w:numId w:val="0"/>
        </w:numPr>
        <w:ind w:firstLine="420" w:firstLineChars="200"/>
        <w:rPr>
          <w:rFonts w:ascii="宋体" w:hAnsi="宋体" w:eastAsia="宋体"/>
        </w:rPr>
      </w:pPr>
      <w:r>
        <w:rPr>
          <w:rFonts w:ascii="宋体" w:hAnsi="宋体" w:eastAsia="宋体"/>
        </w:rPr>
        <w:t>在国家批准的人工栽培的三块石大果榛子地理标志产品保护范围内</w:t>
      </w:r>
      <w:r>
        <w:rPr>
          <w:rFonts w:hint="eastAsia" w:ascii="宋体" w:hAnsi="宋体" w:eastAsia="宋体"/>
        </w:rPr>
        <w:t>，</w:t>
      </w:r>
      <w:r>
        <w:rPr>
          <w:rFonts w:ascii="宋体" w:hAnsi="宋体" w:eastAsia="宋体"/>
        </w:rPr>
        <w:t>以平欧杂</w:t>
      </w:r>
      <w:r>
        <w:rPr>
          <w:rFonts w:hint="eastAsia" w:ascii="宋体" w:hAnsi="宋体" w:eastAsia="宋体"/>
        </w:rPr>
        <w:t>种</w:t>
      </w:r>
      <w:r>
        <w:rPr>
          <w:rFonts w:ascii="宋体" w:hAnsi="宋体" w:eastAsia="宋体"/>
        </w:rPr>
        <w:t>榛为品种栽植的具有个大皮薄</w:t>
      </w:r>
      <w:r>
        <w:rPr>
          <w:rFonts w:hint="eastAsia" w:ascii="宋体" w:hAnsi="宋体" w:eastAsia="宋体"/>
        </w:rPr>
        <w:t>（单果重达3.5g以上、果壳厚度小于1.5mm）</w:t>
      </w:r>
      <w:r>
        <w:rPr>
          <w:rFonts w:ascii="宋体" w:hAnsi="宋体" w:eastAsia="宋体"/>
        </w:rPr>
        <w:t>、果仁饱满</w:t>
      </w:r>
      <w:r>
        <w:rPr>
          <w:rFonts w:hint="eastAsia" w:ascii="宋体" w:hAnsi="宋体" w:eastAsia="宋体"/>
        </w:rPr>
        <w:t>（出仁率高达43%以上）</w:t>
      </w:r>
      <w:r>
        <w:rPr>
          <w:rFonts w:ascii="宋体" w:hAnsi="宋体" w:eastAsia="宋体"/>
        </w:rPr>
        <w:t>、光洁、口感好等品质特征，采用</w:t>
      </w:r>
      <w:r>
        <w:rPr>
          <w:rFonts w:hint="eastAsia" w:ascii="宋体" w:hAnsi="宋体" w:eastAsia="宋体"/>
        </w:rPr>
        <w:t>传统工艺与现代先进加工技术加工而成的生榛子和熟榛子。品种为平欧杂种榛。</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生榛子 Raw hazelnuts</w:t>
      </w:r>
    </w:p>
    <w:p>
      <w:pPr>
        <w:pStyle w:val="164"/>
        <w:numPr>
          <w:ilvl w:val="0"/>
          <w:numId w:val="0"/>
        </w:numPr>
        <w:ind w:firstLine="315" w:firstLineChars="150"/>
      </w:pPr>
      <w:r>
        <w:rPr>
          <w:rFonts w:hint="eastAsia"/>
        </w:rPr>
        <w:t>榛子采摘后脱去果苞及杂质后的榛果。</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熟榛子 Ripe hazelnuts</w:t>
      </w:r>
    </w:p>
    <w:p>
      <w:pPr>
        <w:pStyle w:val="232"/>
        <w:ind w:firstLine="315" w:firstLineChars="150"/>
      </w:pPr>
      <w:r>
        <w:rPr>
          <w:rFonts w:hint="eastAsia"/>
        </w:rPr>
        <w:t>以生榛子为原料，添加或不添加辅料，经炒制、烘烤工艺制成的熟榛子。</w:t>
      </w:r>
    </w:p>
    <w:p>
      <w:pPr>
        <w:pStyle w:val="106"/>
        <w:spacing w:before="312" w:after="312"/>
      </w:pPr>
      <w:r>
        <w:rPr>
          <w:rFonts w:hint="eastAsia"/>
        </w:rPr>
        <w:t>地理标志产品保护范围</w:t>
      </w:r>
    </w:p>
    <w:p>
      <w:pPr>
        <w:pStyle w:val="58"/>
        <w:ind w:firstLine="420"/>
      </w:pPr>
      <w:r>
        <w:t>三块石大果榛子地理标志产品保护产地范围为辽宁省抚顺县现辖行政区域。</w:t>
      </w:r>
      <w:r>
        <w:rPr>
          <w:rFonts w:hint="eastAsia" w:hAnsi="宋体"/>
        </w:rPr>
        <w:t>见附录A。</w:t>
      </w:r>
    </w:p>
    <w:p>
      <w:pPr>
        <w:pStyle w:val="106"/>
        <w:spacing w:before="312" w:after="312"/>
      </w:pPr>
      <w:r>
        <w:rPr>
          <w:rFonts w:hint="eastAsia"/>
        </w:rPr>
        <w:t>自然环境条件</w:t>
      </w:r>
    </w:p>
    <w:p>
      <w:pPr>
        <w:pStyle w:val="107"/>
        <w:spacing w:before="156" w:after="156"/>
      </w:pPr>
      <w:r>
        <w:rPr>
          <w:rFonts w:hint="eastAsia"/>
        </w:rPr>
        <w:t>气候条件</w:t>
      </w:r>
    </w:p>
    <w:p>
      <w:pPr>
        <w:pStyle w:val="107"/>
        <w:numPr>
          <w:ilvl w:val="0"/>
          <w:numId w:val="0"/>
        </w:numPr>
        <w:spacing w:before="156" w:after="156"/>
        <w:ind w:firstLine="420" w:firstLineChars="200"/>
        <w:rPr>
          <w:rFonts w:ascii="宋体" w:eastAsia="宋体"/>
        </w:rPr>
      </w:pPr>
      <w:r>
        <w:rPr>
          <w:rFonts w:hint="eastAsia" w:ascii="宋体" w:eastAsia="宋体"/>
        </w:rPr>
        <w:t>属低山丘陵向平原过渡的缓坡地形，平均海拔100m～300m；北温带亚湿润区大陆性季风气候，雨热同季，四季分明；年平均气温7.8℃，一月份平均气温-14℃，最低气温-35.2℃，七月份平均气温24℃，最高气温35.8℃，年平均降水量823mm，集中于七、八、九月份，无霜期145天。</w:t>
      </w:r>
    </w:p>
    <w:p>
      <w:pPr>
        <w:pStyle w:val="107"/>
        <w:spacing w:before="156" w:after="156"/>
        <w:rPr>
          <w:rFonts w:ascii="宋体" w:eastAsia="宋体"/>
        </w:rPr>
      </w:pPr>
      <w:r>
        <w:rPr>
          <w:rFonts w:hint="eastAsia"/>
        </w:rPr>
        <w:t>土壤条件</w:t>
      </w:r>
    </w:p>
    <w:p>
      <w:pPr>
        <w:pStyle w:val="107"/>
        <w:numPr>
          <w:ilvl w:val="0"/>
          <w:numId w:val="0"/>
        </w:numPr>
        <w:spacing w:before="156" w:after="156"/>
        <w:rPr>
          <w:rFonts w:ascii="宋体" w:eastAsia="宋体"/>
        </w:rPr>
      </w:pPr>
      <w:r>
        <w:rPr>
          <w:rFonts w:hint="eastAsia"/>
        </w:rPr>
        <w:t xml:space="preserve">   </w:t>
      </w:r>
      <w:r>
        <w:rPr>
          <w:rFonts w:hint="eastAsia" w:ascii="宋体" w:eastAsia="宋体"/>
        </w:rPr>
        <w:t xml:space="preserve"> 土壤为排水良好的沙壤土、壤土、轻黏土，土层厚度60cm以上，pH值5.5～6.2。种源为平欧杂种榛。</w:t>
      </w:r>
    </w:p>
    <w:p>
      <w:pPr>
        <w:pStyle w:val="106"/>
        <w:spacing w:before="312" w:after="312"/>
      </w:pPr>
      <w:r>
        <w:rPr>
          <w:rFonts w:hint="eastAsia"/>
        </w:rPr>
        <w:t>栽培管理</w:t>
      </w:r>
    </w:p>
    <w:p>
      <w:pPr>
        <w:pStyle w:val="107"/>
        <w:spacing w:before="156" w:after="156"/>
      </w:pPr>
      <w:r>
        <w:t>苗木选择</w:t>
      </w:r>
    </w:p>
    <w:p>
      <w:pPr>
        <w:pStyle w:val="58"/>
        <w:ind w:firstLine="420"/>
      </w:pPr>
      <w:r>
        <w:rPr>
          <w:rFonts w:hint="eastAsia"/>
        </w:rPr>
        <w:t>采用优质母树无性繁育1年～2年生健壮苗木,株高约为0.5m、地径0.5m×0.5m、根系数量为3棵～4棵。</w:t>
      </w:r>
    </w:p>
    <w:p>
      <w:pPr>
        <w:pStyle w:val="107"/>
        <w:spacing w:before="156" w:after="156"/>
      </w:pPr>
      <w:r>
        <w:t>栽植时间</w:t>
      </w:r>
    </w:p>
    <w:p>
      <w:pPr>
        <w:pStyle w:val="58"/>
        <w:ind w:firstLine="420"/>
      </w:pPr>
      <w:r>
        <w:rPr>
          <w:rFonts w:hint="eastAsia"/>
        </w:rPr>
        <w:t>每年</w:t>
      </w:r>
      <w:r>
        <w:t>4月10日至4月20日。</w:t>
      </w:r>
    </w:p>
    <w:p>
      <w:pPr>
        <w:pStyle w:val="107"/>
        <w:spacing w:before="156" w:after="156"/>
      </w:pPr>
      <w:r>
        <w:t>栽植密度</w:t>
      </w:r>
    </w:p>
    <w:p>
      <w:pPr>
        <w:pStyle w:val="58"/>
        <w:ind w:firstLine="420"/>
      </w:pPr>
      <w:r>
        <w:rPr>
          <w:rFonts w:hint="eastAsia"/>
          <w:szCs w:val="21"/>
        </w:rPr>
        <w:t>行距2.5</w:t>
      </w:r>
      <w:r>
        <w:rPr>
          <w:rFonts w:hint="eastAsia"/>
        </w:rPr>
        <w:t>m</w:t>
      </w:r>
      <w:r>
        <w:rPr>
          <w:rFonts w:hint="eastAsia"/>
          <w:szCs w:val="21"/>
        </w:rPr>
        <w:t>～3.0m、株距3.0m～3.5m，每公顷栽植≤1665株</w:t>
      </w:r>
      <w:r>
        <w:t>。</w:t>
      </w:r>
    </w:p>
    <w:p>
      <w:pPr>
        <w:pStyle w:val="107"/>
        <w:spacing w:before="156" w:after="156"/>
      </w:pPr>
      <w:r>
        <w:rPr>
          <w:rFonts w:hint="eastAsia"/>
        </w:rPr>
        <w:t>施肥管理</w:t>
      </w:r>
    </w:p>
    <w:p>
      <w:pPr>
        <w:pStyle w:val="58"/>
        <w:ind w:firstLine="420"/>
      </w:pPr>
      <w:r>
        <w:rPr>
          <w:rFonts w:hint="eastAsia"/>
          <w:szCs w:val="21"/>
        </w:rPr>
        <w:t>每公顷施商品有机肥7.5吨左右</w:t>
      </w:r>
      <w:r>
        <w:rPr>
          <w:rFonts w:hint="eastAsia"/>
        </w:rPr>
        <w:t>，应符合NY/T 496的规定。</w:t>
      </w:r>
    </w:p>
    <w:p>
      <w:pPr>
        <w:pStyle w:val="58"/>
        <w:ind w:firstLine="420"/>
      </w:pPr>
    </w:p>
    <w:p>
      <w:pPr>
        <w:pStyle w:val="106"/>
        <w:spacing w:before="312" w:after="312"/>
      </w:pPr>
      <w:r>
        <w:rPr>
          <w:rFonts w:hint="eastAsia"/>
        </w:rPr>
        <w:t>要求及检验方法</w:t>
      </w:r>
    </w:p>
    <w:p>
      <w:pPr>
        <w:pStyle w:val="107"/>
        <w:spacing w:before="156" w:after="156"/>
      </w:pPr>
      <w:r>
        <w:rPr>
          <w:rFonts w:hint="eastAsia"/>
        </w:rPr>
        <w:t>感官要求</w:t>
      </w:r>
    </w:p>
    <w:p>
      <w:pPr>
        <w:pStyle w:val="107"/>
        <w:numPr>
          <w:ilvl w:val="0"/>
          <w:numId w:val="0"/>
        </w:numPr>
        <w:spacing w:before="156" w:after="156"/>
        <w:ind w:firstLine="420" w:firstLineChars="200"/>
        <w:rPr>
          <w:rFonts w:ascii="宋体" w:eastAsia="宋体"/>
        </w:rPr>
      </w:pPr>
      <w:r>
        <w:rPr>
          <w:rFonts w:hint="eastAsia" w:ascii="宋体" w:eastAsia="宋体"/>
        </w:rPr>
        <w:t>感官要求应符合表1的规定。</w:t>
      </w:r>
    </w:p>
    <w:p>
      <w:pPr>
        <w:pStyle w:val="114"/>
        <w:spacing w:before="156" w:after="156"/>
      </w:pPr>
      <w:r>
        <w:rPr>
          <w:rFonts w:hint="eastAsia"/>
        </w:rPr>
        <w:t>感官要求</w:t>
      </w:r>
    </w:p>
    <w:tbl>
      <w:tblPr>
        <w:tblStyle w:val="28"/>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108" w:type="dxa"/>
          <w:bottom w:w="0" w:type="dxa"/>
          <w:right w:w="108" w:type="dxa"/>
        </w:tblCellMar>
      </w:tblPr>
      <w:tblGrid>
        <w:gridCol w:w="1526"/>
        <w:gridCol w:w="4536"/>
        <w:gridCol w:w="350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6" w:type="dxa"/>
            <w:shd w:val="clear" w:color="auto" w:fill="auto"/>
          </w:tcPr>
          <w:p>
            <w:pPr>
              <w:pStyle w:val="232"/>
              <w:ind w:firstLine="0" w:firstLineChars="0"/>
              <w:jc w:val="center"/>
              <w:rPr>
                <w:sz w:val="18"/>
                <w:szCs w:val="18"/>
              </w:rPr>
            </w:pPr>
            <w:r>
              <w:rPr>
                <w:rFonts w:hint="eastAsia"/>
                <w:sz w:val="18"/>
                <w:szCs w:val="18"/>
              </w:rPr>
              <w:t>项 目</w:t>
            </w:r>
          </w:p>
        </w:tc>
        <w:tc>
          <w:tcPr>
            <w:tcW w:w="4536" w:type="dxa"/>
            <w:shd w:val="clear" w:color="auto" w:fill="auto"/>
          </w:tcPr>
          <w:p>
            <w:pPr>
              <w:pStyle w:val="232"/>
              <w:ind w:firstLine="0" w:firstLineChars="0"/>
              <w:jc w:val="center"/>
              <w:rPr>
                <w:sz w:val="18"/>
                <w:szCs w:val="18"/>
              </w:rPr>
            </w:pPr>
            <w:r>
              <w:rPr>
                <w:rFonts w:hint="eastAsia"/>
                <w:sz w:val="18"/>
                <w:szCs w:val="18"/>
              </w:rPr>
              <w:t>指  标</w:t>
            </w:r>
          </w:p>
        </w:tc>
        <w:tc>
          <w:tcPr>
            <w:tcW w:w="3508" w:type="dxa"/>
            <w:shd w:val="clear" w:color="auto" w:fill="auto"/>
          </w:tcPr>
          <w:p>
            <w:pPr>
              <w:pStyle w:val="232"/>
              <w:ind w:firstLine="0" w:firstLineChars="0"/>
              <w:jc w:val="center"/>
              <w:rPr>
                <w:sz w:val="18"/>
                <w:szCs w:val="18"/>
              </w:rPr>
            </w:pPr>
            <w:r>
              <w:rPr>
                <w:rFonts w:hint="eastAsia"/>
                <w:sz w:val="18"/>
                <w:szCs w:val="18"/>
              </w:rPr>
              <w:t>检验方法</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6" w:type="dxa"/>
            <w:shd w:val="clear" w:color="auto" w:fill="auto"/>
          </w:tcPr>
          <w:p>
            <w:pPr>
              <w:pStyle w:val="232"/>
              <w:ind w:firstLine="0" w:firstLineChars="0"/>
              <w:jc w:val="center"/>
              <w:rPr>
                <w:sz w:val="18"/>
                <w:szCs w:val="18"/>
              </w:rPr>
            </w:pPr>
            <w:r>
              <w:rPr>
                <w:rFonts w:hint="eastAsia"/>
                <w:sz w:val="18"/>
                <w:szCs w:val="18"/>
              </w:rPr>
              <w:t>外 观</w:t>
            </w:r>
          </w:p>
        </w:tc>
        <w:tc>
          <w:tcPr>
            <w:tcW w:w="4536" w:type="dxa"/>
            <w:shd w:val="clear" w:color="auto" w:fill="auto"/>
          </w:tcPr>
          <w:p>
            <w:pPr>
              <w:pStyle w:val="232"/>
              <w:ind w:firstLine="0" w:firstLineChars="0"/>
              <w:jc w:val="left"/>
              <w:rPr>
                <w:sz w:val="18"/>
                <w:szCs w:val="18"/>
              </w:rPr>
            </w:pPr>
            <w:r>
              <w:rPr>
                <w:rFonts w:hint="eastAsia"/>
                <w:sz w:val="18"/>
                <w:szCs w:val="18"/>
              </w:rPr>
              <w:t>近圆球形，个大、皮薄，单果重＞3.5g、果壳厚度＜ 1.5mm，果仁饱满、光洁度好。</w:t>
            </w:r>
          </w:p>
        </w:tc>
        <w:tc>
          <w:tcPr>
            <w:tcW w:w="3508" w:type="dxa"/>
            <w:vMerge w:val="restart"/>
            <w:shd w:val="clear" w:color="auto" w:fill="auto"/>
            <w:vAlign w:val="center"/>
          </w:tcPr>
          <w:p>
            <w:pPr>
              <w:pStyle w:val="232"/>
              <w:ind w:firstLine="360"/>
              <w:jc w:val="left"/>
              <w:rPr>
                <w:sz w:val="18"/>
                <w:szCs w:val="18"/>
              </w:rPr>
            </w:pPr>
            <w:r>
              <w:rPr>
                <w:rFonts w:hint="eastAsia"/>
                <w:sz w:val="18"/>
                <w:szCs w:val="18"/>
              </w:rPr>
              <w:t>在自然光或白炽灯下，将样品置于洁净、干燥的白瓷盘中，目测其色泽、形状和杂质，再将壳去除后嗅其气味、品尝其滋味与口感。</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6" w:type="dxa"/>
            <w:shd w:val="clear" w:color="auto" w:fill="auto"/>
          </w:tcPr>
          <w:p>
            <w:pPr>
              <w:pStyle w:val="232"/>
              <w:ind w:firstLine="0" w:firstLineChars="0"/>
              <w:jc w:val="center"/>
              <w:rPr>
                <w:sz w:val="18"/>
                <w:szCs w:val="18"/>
              </w:rPr>
            </w:pPr>
            <w:r>
              <w:rPr>
                <w:rFonts w:hint="eastAsia"/>
                <w:sz w:val="18"/>
                <w:szCs w:val="18"/>
              </w:rPr>
              <w:t>色 泽</w:t>
            </w:r>
          </w:p>
        </w:tc>
        <w:tc>
          <w:tcPr>
            <w:tcW w:w="4536" w:type="dxa"/>
            <w:shd w:val="clear" w:color="auto" w:fill="auto"/>
          </w:tcPr>
          <w:p>
            <w:pPr>
              <w:pStyle w:val="232"/>
              <w:ind w:firstLine="0" w:firstLineChars="0"/>
              <w:jc w:val="left"/>
              <w:rPr>
                <w:sz w:val="18"/>
                <w:szCs w:val="18"/>
              </w:rPr>
            </w:pPr>
            <w:r>
              <w:rPr>
                <w:rFonts w:hint="eastAsia"/>
                <w:sz w:val="18"/>
                <w:szCs w:val="18"/>
              </w:rPr>
              <w:t>坚果呈黄褐色。</w:t>
            </w:r>
          </w:p>
        </w:tc>
        <w:tc>
          <w:tcPr>
            <w:tcW w:w="3508" w:type="dxa"/>
            <w:vMerge w:val="continue"/>
            <w:shd w:val="clear" w:color="auto" w:fill="auto"/>
          </w:tcPr>
          <w:p>
            <w:pPr>
              <w:pStyle w:val="232"/>
              <w:ind w:firstLine="0" w:firstLineChars="0"/>
              <w:rPr>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jc w:val="center"/>
        </w:trPr>
        <w:tc>
          <w:tcPr>
            <w:tcW w:w="1526" w:type="dxa"/>
            <w:shd w:val="clear" w:color="auto" w:fill="auto"/>
          </w:tcPr>
          <w:p>
            <w:pPr>
              <w:pStyle w:val="232"/>
              <w:ind w:firstLine="0" w:firstLineChars="0"/>
              <w:jc w:val="center"/>
              <w:rPr>
                <w:sz w:val="18"/>
                <w:szCs w:val="18"/>
              </w:rPr>
            </w:pPr>
            <w:r>
              <w:rPr>
                <w:rFonts w:hint="eastAsia"/>
                <w:sz w:val="18"/>
                <w:szCs w:val="18"/>
              </w:rPr>
              <w:t>滋味与气味</w:t>
            </w:r>
          </w:p>
        </w:tc>
        <w:tc>
          <w:tcPr>
            <w:tcW w:w="4536" w:type="dxa"/>
            <w:shd w:val="clear" w:color="auto" w:fill="auto"/>
          </w:tcPr>
          <w:p>
            <w:pPr>
              <w:pStyle w:val="232"/>
              <w:ind w:firstLine="0" w:firstLineChars="0"/>
              <w:jc w:val="left"/>
              <w:rPr>
                <w:sz w:val="18"/>
                <w:szCs w:val="18"/>
              </w:rPr>
            </w:pPr>
            <w:r>
              <w:rPr>
                <w:rFonts w:hint="eastAsia"/>
                <w:sz w:val="18"/>
                <w:szCs w:val="18"/>
              </w:rPr>
              <w:t>具有榛子应有的风味和香气，口感好。</w:t>
            </w:r>
          </w:p>
        </w:tc>
        <w:tc>
          <w:tcPr>
            <w:tcW w:w="3508" w:type="dxa"/>
            <w:vMerge w:val="continue"/>
            <w:shd w:val="clear" w:color="auto" w:fill="auto"/>
          </w:tcPr>
          <w:p>
            <w:pPr>
              <w:pStyle w:val="232"/>
              <w:ind w:firstLine="0" w:firstLineChars="0"/>
              <w:rPr>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6" w:type="dxa"/>
            <w:shd w:val="clear" w:color="auto" w:fill="auto"/>
          </w:tcPr>
          <w:p>
            <w:pPr>
              <w:pStyle w:val="232"/>
              <w:ind w:firstLine="0" w:firstLineChars="0"/>
              <w:jc w:val="center"/>
              <w:rPr>
                <w:sz w:val="18"/>
                <w:szCs w:val="18"/>
              </w:rPr>
            </w:pPr>
            <w:r>
              <w:rPr>
                <w:rFonts w:hint="eastAsia"/>
                <w:sz w:val="18"/>
                <w:szCs w:val="18"/>
              </w:rPr>
              <w:t>杂 质</w:t>
            </w:r>
          </w:p>
        </w:tc>
        <w:tc>
          <w:tcPr>
            <w:tcW w:w="4536" w:type="dxa"/>
            <w:shd w:val="clear" w:color="auto" w:fill="auto"/>
          </w:tcPr>
          <w:p>
            <w:pPr>
              <w:pStyle w:val="232"/>
              <w:ind w:firstLine="0" w:firstLineChars="0"/>
              <w:jc w:val="left"/>
              <w:rPr>
                <w:sz w:val="18"/>
                <w:szCs w:val="18"/>
              </w:rPr>
            </w:pPr>
            <w:r>
              <w:rPr>
                <w:rFonts w:hint="eastAsia"/>
                <w:sz w:val="18"/>
                <w:szCs w:val="18"/>
              </w:rPr>
              <w:t>无肉眼可见外来异物。</w:t>
            </w:r>
          </w:p>
        </w:tc>
        <w:tc>
          <w:tcPr>
            <w:tcW w:w="3508" w:type="dxa"/>
            <w:vMerge w:val="continue"/>
            <w:shd w:val="clear" w:color="auto" w:fill="auto"/>
          </w:tcPr>
          <w:p>
            <w:pPr>
              <w:pStyle w:val="232"/>
              <w:ind w:firstLine="0" w:firstLineChars="0"/>
              <w:rPr>
                <w:sz w:val="18"/>
                <w:szCs w:val="18"/>
              </w:rPr>
            </w:pPr>
          </w:p>
        </w:tc>
      </w:tr>
    </w:tbl>
    <w:p>
      <w:pPr>
        <w:pStyle w:val="107"/>
        <w:numPr>
          <w:ilvl w:val="0"/>
          <w:numId w:val="0"/>
        </w:numPr>
        <w:spacing w:before="156" w:after="156"/>
      </w:pPr>
    </w:p>
    <w:p>
      <w:pPr>
        <w:pStyle w:val="107"/>
        <w:spacing w:before="156" w:after="156"/>
      </w:pPr>
      <w:r>
        <w:rPr>
          <w:rFonts w:hint="eastAsia"/>
        </w:rPr>
        <w:t>理化指标</w:t>
      </w:r>
    </w:p>
    <w:p>
      <w:pPr>
        <w:pStyle w:val="107"/>
        <w:numPr>
          <w:ilvl w:val="0"/>
          <w:numId w:val="0"/>
        </w:numPr>
        <w:spacing w:before="156" w:after="156"/>
        <w:ind w:firstLine="420" w:firstLineChars="200"/>
        <w:rPr>
          <w:rFonts w:ascii="宋体" w:eastAsia="宋体"/>
        </w:rPr>
      </w:pPr>
      <w:r>
        <w:rPr>
          <w:rFonts w:hint="eastAsia" w:ascii="宋体" w:eastAsia="宋体"/>
        </w:rPr>
        <w:t>理化指标应符合表2的规定。</w:t>
      </w:r>
    </w:p>
    <w:p>
      <w:pPr>
        <w:pStyle w:val="114"/>
        <w:spacing w:before="156" w:after="156"/>
      </w:pPr>
      <w:r>
        <w:rPr>
          <w:rFonts w:hint="eastAsia"/>
        </w:rPr>
        <w:t>理化指标</w:t>
      </w:r>
    </w:p>
    <w:tbl>
      <w:tblPr>
        <w:tblStyle w:val="28"/>
        <w:tblW w:w="9498"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684"/>
        <w:gridCol w:w="992"/>
        <w:gridCol w:w="993"/>
        <w:gridCol w:w="993"/>
        <w:gridCol w:w="993"/>
        <w:gridCol w:w="18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vMerge w:val="restart"/>
            <w:shd w:val="clear" w:color="auto" w:fill="auto"/>
            <w:vAlign w:val="center"/>
          </w:tcPr>
          <w:p>
            <w:pPr>
              <w:tabs>
                <w:tab w:val="center" w:pos="4201"/>
                <w:tab w:val="right" w:leader="dot" w:pos="9298"/>
              </w:tabs>
              <w:autoSpaceDE w:val="0"/>
              <w:autoSpaceDN w:val="0"/>
              <w:ind w:firstLine="1080" w:firstLineChars="600"/>
              <w:rPr>
                <w:rFonts w:ascii="宋体" w:hAnsi="宋体"/>
                <w:sz w:val="18"/>
                <w:szCs w:val="18"/>
              </w:rPr>
            </w:pPr>
            <w:r>
              <w:rPr>
                <w:rFonts w:hint="eastAsia" w:ascii="宋体" w:hAnsi="宋体"/>
                <w:sz w:val="18"/>
                <w:szCs w:val="18"/>
              </w:rPr>
              <w:t>项    目</w:t>
            </w:r>
          </w:p>
        </w:tc>
        <w:tc>
          <w:tcPr>
            <w:tcW w:w="3971" w:type="dxa"/>
            <w:gridSpan w:val="4"/>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指       标</w:t>
            </w:r>
          </w:p>
        </w:tc>
        <w:tc>
          <w:tcPr>
            <w:tcW w:w="1843" w:type="dxa"/>
            <w:vMerge w:val="restart"/>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检验依据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vMerge w:val="continue"/>
            <w:shd w:val="clear" w:color="auto" w:fill="auto"/>
          </w:tcPr>
          <w:p>
            <w:pPr>
              <w:tabs>
                <w:tab w:val="center" w:pos="4201"/>
                <w:tab w:val="right" w:leader="dot" w:pos="9298"/>
              </w:tabs>
              <w:autoSpaceDE w:val="0"/>
              <w:autoSpaceDN w:val="0"/>
              <w:ind w:firstLine="360" w:firstLineChars="200"/>
              <w:rPr>
                <w:rFonts w:ascii="宋体" w:hAnsi="宋体"/>
                <w:sz w:val="18"/>
                <w:szCs w:val="18"/>
              </w:rPr>
            </w:pPr>
          </w:p>
        </w:tc>
        <w:tc>
          <w:tcPr>
            <w:tcW w:w="1985" w:type="dxa"/>
            <w:gridSpan w:val="2"/>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生榛子</w:t>
            </w:r>
          </w:p>
        </w:tc>
        <w:tc>
          <w:tcPr>
            <w:tcW w:w="1986" w:type="dxa"/>
            <w:gridSpan w:val="2"/>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熟榛子</w:t>
            </w:r>
          </w:p>
        </w:tc>
        <w:tc>
          <w:tcPr>
            <w:tcW w:w="1843" w:type="dxa"/>
            <w:vMerge w:val="continue"/>
            <w:shd w:val="clear" w:color="auto" w:fill="auto"/>
            <w:vAlign w:val="center"/>
          </w:tcPr>
          <w:p>
            <w:pPr>
              <w:tabs>
                <w:tab w:val="center" w:pos="4201"/>
                <w:tab w:val="right" w:leader="dot" w:pos="9298"/>
              </w:tabs>
              <w:autoSpaceDE w:val="0"/>
              <w:autoSpaceDN w:val="0"/>
              <w:ind w:firstLine="810" w:firstLineChars="450"/>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vMerge w:val="continue"/>
            <w:shd w:val="clear" w:color="auto" w:fill="auto"/>
          </w:tcPr>
          <w:p>
            <w:pPr>
              <w:tabs>
                <w:tab w:val="center" w:pos="4201"/>
                <w:tab w:val="right" w:leader="dot" w:pos="9298"/>
              </w:tabs>
              <w:autoSpaceDE w:val="0"/>
              <w:autoSpaceDN w:val="0"/>
              <w:ind w:firstLine="360" w:firstLineChars="200"/>
              <w:rPr>
                <w:rFonts w:ascii="宋体" w:hAnsi="宋体"/>
                <w:sz w:val="18"/>
                <w:szCs w:val="18"/>
              </w:rPr>
            </w:pPr>
          </w:p>
        </w:tc>
        <w:tc>
          <w:tcPr>
            <w:tcW w:w="992"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一等品</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二等品</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一等品</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二等品</w:t>
            </w:r>
          </w:p>
        </w:tc>
        <w:tc>
          <w:tcPr>
            <w:tcW w:w="1843" w:type="dxa"/>
            <w:vMerge w:val="continue"/>
            <w:shd w:val="clear" w:color="auto" w:fill="auto"/>
            <w:vAlign w:val="center"/>
          </w:tcPr>
          <w:p>
            <w:pPr>
              <w:tabs>
                <w:tab w:val="center" w:pos="4201"/>
                <w:tab w:val="right" w:leader="dot" w:pos="9298"/>
              </w:tabs>
              <w:autoSpaceDE w:val="0"/>
              <w:autoSpaceDN w:val="0"/>
              <w:rPr>
                <w:rFonts w:ascii="宋体" w:hAnsi="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水分/（g/100g）                     </w:t>
            </w:r>
          </w:p>
        </w:tc>
        <w:tc>
          <w:tcPr>
            <w:tcW w:w="1985" w:type="dxa"/>
            <w:gridSpan w:val="2"/>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≤10.0</w:t>
            </w:r>
          </w:p>
        </w:tc>
        <w:tc>
          <w:tcPr>
            <w:tcW w:w="1986" w:type="dxa"/>
            <w:gridSpan w:val="2"/>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≤7.0</w:t>
            </w:r>
          </w:p>
        </w:tc>
        <w:tc>
          <w:tcPr>
            <w:tcW w:w="1843" w:type="dxa"/>
            <w:shd w:val="clear" w:color="auto" w:fill="auto"/>
            <w:vAlign w:val="center"/>
          </w:tcPr>
          <w:p>
            <w:pPr>
              <w:tabs>
                <w:tab w:val="center" w:pos="4201"/>
                <w:tab w:val="right" w:leader="dot" w:pos="9298"/>
              </w:tabs>
              <w:autoSpaceDE w:val="0"/>
              <w:autoSpaceDN w:val="0"/>
              <w:jc w:val="center"/>
              <w:rPr>
                <w:rFonts w:ascii="宋体" w:hAnsi="宋体"/>
                <w:kern w:val="0"/>
                <w:sz w:val="18"/>
                <w:szCs w:val="18"/>
              </w:rPr>
            </w:pPr>
            <w:r>
              <w:rPr>
                <w:rFonts w:ascii="宋体" w:hAnsi="宋体"/>
                <w:sz w:val="18"/>
                <w:szCs w:val="18"/>
              </w:rPr>
              <w:t>GB 5009.3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出仁率/（g/100g）                   </w:t>
            </w:r>
          </w:p>
        </w:tc>
        <w:tc>
          <w:tcPr>
            <w:tcW w:w="992"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≥43</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≥30</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≥43</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≥30</w:t>
            </w:r>
          </w:p>
        </w:tc>
        <w:tc>
          <w:tcPr>
            <w:tcW w:w="1843" w:type="dxa"/>
            <w:shd w:val="clear" w:color="auto" w:fill="auto"/>
            <w:vAlign w:val="center"/>
          </w:tcPr>
          <w:p>
            <w:pPr>
              <w:tabs>
                <w:tab w:val="center" w:pos="4201"/>
                <w:tab w:val="right" w:leader="dot" w:pos="9298"/>
              </w:tabs>
              <w:autoSpaceDE w:val="0"/>
              <w:autoSpaceDN w:val="0"/>
              <w:ind w:firstLine="360" w:firstLineChars="200"/>
              <w:rPr>
                <w:rFonts w:ascii="宋体" w:hAnsi="宋体"/>
                <w:kern w:val="0"/>
                <w:sz w:val="18"/>
                <w:szCs w:val="18"/>
              </w:rPr>
            </w:pPr>
            <w:r>
              <w:rPr>
                <w:rFonts w:ascii="宋体" w:hAnsi="宋体"/>
                <w:sz w:val="18"/>
                <w:szCs w:val="18"/>
              </w:rPr>
              <w:t>LY/T 1650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空壳率/（g/100g）                   </w:t>
            </w:r>
          </w:p>
        </w:tc>
        <w:tc>
          <w:tcPr>
            <w:tcW w:w="992"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≤3</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≤8</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≤3</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≤8</w:t>
            </w:r>
          </w:p>
        </w:tc>
        <w:tc>
          <w:tcPr>
            <w:tcW w:w="1843" w:type="dxa"/>
            <w:shd w:val="clear" w:color="auto" w:fill="auto"/>
            <w:vAlign w:val="center"/>
          </w:tcPr>
          <w:p>
            <w:pPr>
              <w:tabs>
                <w:tab w:val="center" w:pos="4201"/>
                <w:tab w:val="right" w:leader="dot" w:pos="9298"/>
              </w:tabs>
              <w:autoSpaceDE w:val="0"/>
              <w:autoSpaceDN w:val="0"/>
              <w:ind w:firstLine="360" w:firstLineChars="200"/>
              <w:rPr>
                <w:rFonts w:ascii="宋体" w:hAnsi="宋体"/>
                <w:kern w:val="0"/>
                <w:sz w:val="18"/>
                <w:szCs w:val="18"/>
              </w:rPr>
            </w:pPr>
            <w:r>
              <w:rPr>
                <w:rFonts w:ascii="宋体" w:hAnsi="宋体"/>
                <w:sz w:val="18"/>
                <w:szCs w:val="18"/>
              </w:rPr>
              <w:t>LY/T 1650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缺陷果率/（g/100g）                 </w:t>
            </w:r>
          </w:p>
        </w:tc>
        <w:tc>
          <w:tcPr>
            <w:tcW w:w="992"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≤3</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≤5</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≤3</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≤5</w:t>
            </w:r>
          </w:p>
        </w:tc>
        <w:tc>
          <w:tcPr>
            <w:tcW w:w="1843" w:type="dxa"/>
            <w:shd w:val="clear" w:color="auto" w:fill="auto"/>
            <w:vAlign w:val="center"/>
          </w:tcPr>
          <w:p>
            <w:pPr>
              <w:tabs>
                <w:tab w:val="center" w:pos="4201"/>
                <w:tab w:val="right" w:leader="dot" w:pos="9298"/>
              </w:tabs>
              <w:autoSpaceDE w:val="0"/>
              <w:autoSpaceDN w:val="0"/>
              <w:ind w:firstLine="360" w:firstLineChars="200"/>
              <w:rPr>
                <w:rFonts w:ascii="宋体" w:hAnsi="宋体"/>
                <w:kern w:val="0"/>
                <w:sz w:val="18"/>
                <w:szCs w:val="18"/>
              </w:rPr>
            </w:pPr>
            <w:r>
              <w:rPr>
                <w:rFonts w:ascii="宋体" w:hAnsi="宋体"/>
                <w:sz w:val="18"/>
                <w:szCs w:val="18"/>
              </w:rPr>
              <w:t>LY/T 1650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缺陷果仁率/（g/100g）               </w:t>
            </w:r>
          </w:p>
        </w:tc>
        <w:tc>
          <w:tcPr>
            <w:tcW w:w="992"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≤5</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≤10</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≤5</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≤10</w:t>
            </w:r>
          </w:p>
        </w:tc>
        <w:tc>
          <w:tcPr>
            <w:tcW w:w="1843" w:type="dxa"/>
            <w:shd w:val="clear" w:color="auto" w:fill="auto"/>
            <w:vAlign w:val="center"/>
          </w:tcPr>
          <w:p>
            <w:pPr>
              <w:tabs>
                <w:tab w:val="center" w:pos="4201"/>
                <w:tab w:val="right" w:leader="dot" w:pos="9298"/>
              </w:tabs>
              <w:autoSpaceDE w:val="0"/>
              <w:autoSpaceDN w:val="0"/>
              <w:ind w:firstLine="360" w:firstLineChars="200"/>
              <w:rPr>
                <w:rFonts w:ascii="宋体" w:hAnsi="宋体"/>
                <w:kern w:val="0"/>
                <w:sz w:val="18"/>
                <w:szCs w:val="18"/>
              </w:rPr>
            </w:pPr>
            <w:r>
              <w:rPr>
                <w:rFonts w:ascii="宋体" w:hAnsi="宋体"/>
                <w:sz w:val="18"/>
                <w:szCs w:val="18"/>
              </w:rPr>
              <w:t>LY/T 1650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杂质/（g/100g）                     </w:t>
            </w:r>
          </w:p>
        </w:tc>
        <w:tc>
          <w:tcPr>
            <w:tcW w:w="992"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≤0</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≤0.5</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≤0</w:t>
            </w:r>
          </w:p>
        </w:tc>
        <w:tc>
          <w:tcPr>
            <w:tcW w:w="99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≤0.5</w:t>
            </w:r>
          </w:p>
        </w:tc>
        <w:tc>
          <w:tcPr>
            <w:tcW w:w="1843" w:type="dxa"/>
            <w:shd w:val="clear" w:color="auto" w:fill="auto"/>
            <w:vAlign w:val="center"/>
          </w:tcPr>
          <w:p>
            <w:pPr>
              <w:tabs>
                <w:tab w:val="center" w:pos="4201"/>
                <w:tab w:val="right" w:leader="dot" w:pos="9298"/>
              </w:tabs>
              <w:autoSpaceDE w:val="0"/>
              <w:autoSpaceDN w:val="0"/>
              <w:ind w:firstLine="360" w:firstLineChars="200"/>
              <w:rPr>
                <w:rFonts w:ascii="宋体" w:hAnsi="宋体"/>
                <w:kern w:val="0"/>
                <w:sz w:val="18"/>
                <w:szCs w:val="18"/>
              </w:rPr>
            </w:pPr>
            <w:r>
              <w:rPr>
                <w:rFonts w:ascii="宋体" w:hAnsi="宋体"/>
                <w:sz w:val="18"/>
                <w:szCs w:val="18"/>
              </w:rPr>
              <w:t>LY/T 1650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蛋白质/（g/100g）                   </w:t>
            </w:r>
          </w:p>
        </w:tc>
        <w:tc>
          <w:tcPr>
            <w:tcW w:w="3971" w:type="dxa"/>
            <w:gridSpan w:val="4"/>
            <w:shd w:val="clear" w:color="auto" w:fill="auto"/>
            <w:vAlign w:val="center"/>
          </w:tcPr>
          <w:p>
            <w:pPr>
              <w:tabs>
                <w:tab w:val="center" w:pos="4201"/>
                <w:tab w:val="right" w:leader="dot" w:pos="9298"/>
              </w:tabs>
              <w:autoSpaceDE w:val="0"/>
              <w:autoSpaceDN w:val="0"/>
              <w:jc w:val="center"/>
              <w:rPr>
                <w:rFonts w:ascii="宋体" w:hAnsi="宋体"/>
                <w:kern w:val="0"/>
                <w:sz w:val="18"/>
                <w:szCs w:val="18"/>
              </w:rPr>
            </w:pPr>
            <w:r>
              <w:rPr>
                <w:rFonts w:hint="eastAsia" w:ascii="宋体" w:hAnsi="宋体"/>
                <w:sz w:val="18"/>
                <w:szCs w:val="18"/>
              </w:rPr>
              <w:t>≥16.5</w:t>
            </w:r>
          </w:p>
        </w:tc>
        <w:tc>
          <w:tcPr>
            <w:tcW w:w="1843" w:type="dxa"/>
            <w:shd w:val="clear" w:color="auto" w:fill="auto"/>
            <w:vAlign w:val="center"/>
          </w:tcPr>
          <w:p>
            <w:pPr>
              <w:tabs>
                <w:tab w:val="center" w:pos="4201"/>
                <w:tab w:val="right" w:leader="dot" w:pos="9298"/>
              </w:tabs>
              <w:autoSpaceDE w:val="0"/>
              <w:autoSpaceDN w:val="0"/>
              <w:jc w:val="center"/>
              <w:rPr>
                <w:rFonts w:ascii="宋体" w:hAnsi="宋体"/>
                <w:kern w:val="0"/>
                <w:sz w:val="18"/>
                <w:szCs w:val="18"/>
              </w:rPr>
            </w:pPr>
            <w:r>
              <w:rPr>
                <w:rFonts w:ascii="宋体" w:hAnsi="宋体"/>
                <w:sz w:val="18"/>
                <w:szCs w:val="18"/>
              </w:rPr>
              <w:t>GB 5009.5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脂肪/（g/100g）                     </w:t>
            </w:r>
          </w:p>
        </w:tc>
        <w:tc>
          <w:tcPr>
            <w:tcW w:w="3971" w:type="dxa"/>
            <w:gridSpan w:val="4"/>
            <w:shd w:val="clear" w:color="auto" w:fill="auto"/>
            <w:vAlign w:val="center"/>
          </w:tcPr>
          <w:p>
            <w:pPr>
              <w:tabs>
                <w:tab w:val="center" w:pos="4201"/>
                <w:tab w:val="right" w:leader="dot" w:pos="9298"/>
              </w:tabs>
              <w:autoSpaceDE w:val="0"/>
              <w:autoSpaceDN w:val="0"/>
              <w:jc w:val="center"/>
              <w:rPr>
                <w:rFonts w:ascii="宋体" w:hAnsi="宋体"/>
                <w:kern w:val="0"/>
                <w:sz w:val="18"/>
                <w:szCs w:val="18"/>
              </w:rPr>
            </w:pPr>
            <w:r>
              <w:rPr>
                <w:rFonts w:hint="eastAsia" w:ascii="宋体" w:hAnsi="宋体"/>
                <w:sz w:val="18"/>
                <w:szCs w:val="18"/>
              </w:rPr>
              <w:t>≥50.0</w:t>
            </w:r>
          </w:p>
        </w:tc>
        <w:tc>
          <w:tcPr>
            <w:tcW w:w="1843" w:type="dxa"/>
            <w:shd w:val="clear" w:color="auto" w:fill="auto"/>
            <w:vAlign w:val="center"/>
          </w:tcPr>
          <w:p>
            <w:pPr>
              <w:tabs>
                <w:tab w:val="center" w:pos="4201"/>
                <w:tab w:val="right" w:leader="dot" w:pos="9298"/>
              </w:tabs>
              <w:autoSpaceDE w:val="0"/>
              <w:autoSpaceDN w:val="0"/>
              <w:jc w:val="center"/>
              <w:rPr>
                <w:rFonts w:ascii="宋体" w:hAnsi="宋体"/>
                <w:kern w:val="0"/>
                <w:sz w:val="18"/>
                <w:szCs w:val="18"/>
              </w:rPr>
            </w:pPr>
            <w:r>
              <w:rPr>
                <w:rFonts w:ascii="宋体" w:hAnsi="宋体"/>
                <w:sz w:val="18"/>
                <w:szCs w:val="18"/>
              </w:rPr>
              <w:t>GB 5009.6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酸价（以脂肪计）(KOH)/（mg/g）      </w:t>
            </w:r>
          </w:p>
        </w:tc>
        <w:tc>
          <w:tcPr>
            <w:tcW w:w="1985" w:type="dxa"/>
            <w:gridSpan w:val="2"/>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w:t>
            </w:r>
          </w:p>
        </w:tc>
        <w:tc>
          <w:tcPr>
            <w:tcW w:w="1986" w:type="dxa"/>
            <w:gridSpan w:val="2"/>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≤3</w:t>
            </w:r>
          </w:p>
        </w:tc>
        <w:tc>
          <w:tcPr>
            <w:tcW w:w="184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ascii="宋体" w:hAnsi="宋体"/>
                <w:sz w:val="18"/>
                <w:szCs w:val="18"/>
              </w:rPr>
              <w:t>GB 5009.229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 xml:space="preserve">过氧化值（以脂肪计）（g/100g）       </w:t>
            </w:r>
          </w:p>
        </w:tc>
        <w:tc>
          <w:tcPr>
            <w:tcW w:w="1985" w:type="dxa"/>
            <w:gridSpan w:val="2"/>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w:t>
            </w:r>
          </w:p>
        </w:tc>
        <w:tc>
          <w:tcPr>
            <w:tcW w:w="1986" w:type="dxa"/>
            <w:gridSpan w:val="2"/>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≤0.50</w:t>
            </w:r>
          </w:p>
        </w:tc>
        <w:tc>
          <w:tcPr>
            <w:tcW w:w="1843" w:type="dxa"/>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ascii="宋体" w:hAnsi="宋体"/>
                <w:sz w:val="18"/>
                <w:szCs w:val="18"/>
              </w:rPr>
              <w:t>GB 5009.227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4" w:type="dxa"/>
            <w:shd w:val="clear" w:color="auto" w:fill="auto"/>
          </w:tcPr>
          <w:p>
            <w:pPr>
              <w:tabs>
                <w:tab w:val="center" w:pos="4201"/>
                <w:tab w:val="right" w:leader="dot" w:pos="9298"/>
              </w:tabs>
              <w:autoSpaceDE w:val="0"/>
              <w:autoSpaceDN w:val="0"/>
              <w:rPr>
                <w:rFonts w:ascii="宋体" w:hAnsi="宋体"/>
                <w:sz w:val="18"/>
                <w:szCs w:val="18"/>
              </w:rPr>
            </w:pPr>
            <w:r>
              <w:rPr>
                <w:rFonts w:hint="eastAsia" w:ascii="宋体" w:hAnsi="宋体"/>
                <w:sz w:val="18"/>
                <w:szCs w:val="18"/>
              </w:rPr>
              <w:t>黄曲霉毒素B</w:t>
            </w:r>
            <w:r>
              <w:rPr>
                <w:rFonts w:hint="eastAsia" w:ascii="宋体" w:hAnsi="宋体"/>
                <w:sz w:val="18"/>
                <w:szCs w:val="18"/>
                <w:vertAlign w:val="subscript"/>
              </w:rPr>
              <w:t>1</w:t>
            </w:r>
            <w:r>
              <w:rPr>
                <w:rFonts w:hint="eastAsia" w:ascii="宋体" w:hAnsi="宋体"/>
                <w:sz w:val="18"/>
                <w:szCs w:val="18"/>
              </w:rPr>
              <w:t xml:space="preserve">/（μg/kg）             </w:t>
            </w:r>
          </w:p>
        </w:tc>
        <w:tc>
          <w:tcPr>
            <w:tcW w:w="1985" w:type="dxa"/>
            <w:gridSpan w:val="2"/>
            <w:shd w:val="clear" w:color="auto" w:fill="auto"/>
            <w:vAlign w:val="center"/>
          </w:tcPr>
          <w:p>
            <w:pPr>
              <w:tabs>
                <w:tab w:val="center" w:pos="4201"/>
                <w:tab w:val="right" w:leader="dot" w:pos="9298"/>
              </w:tabs>
              <w:autoSpaceDE w:val="0"/>
              <w:autoSpaceDN w:val="0"/>
              <w:jc w:val="center"/>
              <w:rPr>
                <w:rFonts w:ascii="宋体" w:hAnsi="宋体"/>
                <w:sz w:val="18"/>
                <w:szCs w:val="18"/>
              </w:rPr>
            </w:pPr>
            <w:r>
              <w:rPr>
                <w:rFonts w:hint="eastAsia" w:ascii="宋体" w:hAnsi="宋体"/>
                <w:sz w:val="18"/>
                <w:szCs w:val="18"/>
              </w:rPr>
              <w:t>-</w:t>
            </w:r>
          </w:p>
        </w:tc>
        <w:tc>
          <w:tcPr>
            <w:tcW w:w="1986" w:type="dxa"/>
            <w:gridSpan w:val="2"/>
            <w:shd w:val="clear" w:color="auto" w:fill="auto"/>
            <w:vAlign w:val="center"/>
          </w:tcPr>
          <w:p>
            <w:pPr>
              <w:tabs>
                <w:tab w:val="center" w:pos="4201"/>
                <w:tab w:val="right" w:leader="dot" w:pos="9298"/>
              </w:tabs>
              <w:autoSpaceDE w:val="0"/>
              <w:autoSpaceDN w:val="0"/>
              <w:jc w:val="center"/>
              <w:rPr>
                <w:rFonts w:ascii="宋体" w:hAnsi="宋体"/>
                <w:kern w:val="0"/>
                <w:sz w:val="18"/>
                <w:szCs w:val="18"/>
              </w:rPr>
            </w:pPr>
            <w:r>
              <w:rPr>
                <w:rFonts w:hint="eastAsia" w:ascii="宋体" w:hAnsi="宋体"/>
                <w:sz w:val="18"/>
                <w:szCs w:val="18"/>
              </w:rPr>
              <w:t>≤5.0</w:t>
            </w:r>
          </w:p>
        </w:tc>
        <w:tc>
          <w:tcPr>
            <w:tcW w:w="1843" w:type="dxa"/>
            <w:shd w:val="clear" w:color="auto" w:fill="auto"/>
            <w:vAlign w:val="center"/>
          </w:tcPr>
          <w:p>
            <w:pPr>
              <w:tabs>
                <w:tab w:val="center" w:pos="4201"/>
                <w:tab w:val="right" w:leader="dot" w:pos="9298"/>
              </w:tabs>
              <w:autoSpaceDE w:val="0"/>
              <w:autoSpaceDN w:val="0"/>
              <w:jc w:val="center"/>
              <w:rPr>
                <w:rFonts w:ascii="宋体" w:hAnsi="宋体"/>
                <w:kern w:val="0"/>
                <w:sz w:val="18"/>
                <w:szCs w:val="18"/>
              </w:rPr>
            </w:pPr>
            <w:r>
              <w:rPr>
                <w:rFonts w:ascii="宋体" w:hAnsi="宋体"/>
                <w:sz w:val="18"/>
                <w:szCs w:val="18"/>
              </w:rPr>
              <w:t>GB 5009.22</w:t>
            </w:r>
          </w:p>
        </w:tc>
      </w:tr>
    </w:tbl>
    <w:p>
      <w:pPr>
        <w:pStyle w:val="107"/>
        <w:numPr>
          <w:ilvl w:val="0"/>
          <w:numId w:val="0"/>
        </w:numPr>
        <w:spacing w:before="156" w:after="156"/>
      </w:pPr>
    </w:p>
    <w:p>
      <w:pPr>
        <w:pStyle w:val="107"/>
        <w:spacing w:before="156" w:after="156"/>
      </w:pPr>
      <w:r>
        <w:rPr>
          <w:rFonts w:hint="eastAsia"/>
        </w:rPr>
        <w:t>微生物指标</w:t>
      </w:r>
    </w:p>
    <w:p>
      <w:pPr>
        <w:pStyle w:val="107"/>
        <w:numPr>
          <w:ilvl w:val="0"/>
          <w:numId w:val="0"/>
        </w:numPr>
        <w:spacing w:before="156" w:after="156"/>
        <w:ind w:firstLine="420" w:firstLineChars="200"/>
        <w:rPr>
          <w:rFonts w:ascii="宋体" w:eastAsia="宋体"/>
        </w:rPr>
      </w:pPr>
      <w:r>
        <w:rPr>
          <w:rFonts w:hint="eastAsia" w:ascii="宋体" w:eastAsia="宋体"/>
        </w:rPr>
        <w:t>熟制榛子微生物限量应符合表3的规定。</w:t>
      </w:r>
    </w:p>
    <w:p>
      <w:pPr>
        <w:pStyle w:val="232"/>
        <w:ind w:firstLine="0" w:firstLineChars="0"/>
      </w:pPr>
    </w:p>
    <w:p>
      <w:pPr>
        <w:pStyle w:val="114"/>
        <w:spacing w:before="156" w:after="156"/>
      </w:pPr>
      <w:r>
        <w:rPr>
          <w:rFonts w:hint="eastAsia"/>
        </w:rPr>
        <w:t>微生物指标</w:t>
      </w:r>
    </w:p>
    <w:tbl>
      <w:tblPr>
        <w:tblStyle w:val="28"/>
        <w:tblW w:w="9498"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992"/>
        <w:gridCol w:w="992"/>
        <w:gridCol w:w="993"/>
        <w:gridCol w:w="992"/>
        <w:gridCol w:w="18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6" w:type="dxa"/>
            <w:vMerge w:val="restart"/>
            <w:shd w:val="clear" w:color="auto" w:fill="auto"/>
            <w:vAlign w:val="center"/>
          </w:tcPr>
          <w:p>
            <w:pPr>
              <w:jc w:val="center"/>
              <w:rPr>
                <w:rFonts w:ascii="宋体" w:hAnsi="宋体"/>
                <w:sz w:val="18"/>
                <w:szCs w:val="18"/>
              </w:rPr>
            </w:pPr>
            <w:r>
              <w:rPr>
                <w:rFonts w:hint="eastAsia" w:ascii="宋体" w:hAnsi="宋体"/>
                <w:sz w:val="18"/>
                <w:szCs w:val="18"/>
              </w:rPr>
              <w:t>项    目</w:t>
            </w:r>
          </w:p>
        </w:tc>
        <w:tc>
          <w:tcPr>
            <w:tcW w:w="3969" w:type="dxa"/>
            <w:gridSpan w:val="4"/>
            <w:shd w:val="clear" w:color="auto" w:fill="auto"/>
            <w:vAlign w:val="center"/>
          </w:tcPr>
          <w:p>
            <w:pPr>
              <w:jc w:val="center"/>
              <w:rPr>
                <w:rFonts w:ascii="宋体" w:hAnsi="宋体"/>
                <w:sz w:val="18"/>
                <w:szCs w:val="18"/>
              </w:rPr>
            </w:pPr>
            <w:r>
              <w:rPr>
                <w:rFonts w:hint="eastAsia" w:ascii="宋体" w:hAnsi="宋体"/>
                <w:sz w:val="18"/>
                <w:szCs w:val="18"/>
              </w:rPr>
              <w:t>采样方案</w:t>
            </w:r>
            <w:r>
              <w:rPr>
                <w:rFonts w:hint="eastAsia" w:ascii="宋体" w:hAnsi="宋体"/>
                <w:sz w:val="18"/>
                <w:szCs w:val="18"/>
                <w:vertAlign w:val="superscript"/>
              </w:rPr>
              <w:t>a</w:t>
            </w:r>
            <w:r>
              <w:rPr>
                <w:rFonts w:hint="eastAsia" w:ascii="宋体" w:hAnsi="宋体"/>
                <w:sz w:val="18"/>
                <w:szCs w:val="18"/>
              </w:rPr>
              <w:t>及限量</w:t>
            </w:r>
          </w:p>
        </w:tc>
        <w:tc>
          <w:tcPr>
            <w:tcW w:w="1843" w:type="dxa"/>
            <w:vMerge w:val="restart"/>
            <w:shd w:val="clear" w:color="auto" w:fill="auto"/>
            <w:vAlign w:val="center"/>
          </w:tcPr>
          <w:p>
            <w:pPr>
              <w:jc w:val="center"/>
              <w:rPr>
                <w:rFonts w:ascii="宋体" w:hAnsi="宋体"/>
                <w:sz w:val="18"/>
                <w:szCs w:val="18"/>
              </w:rPr>
            </w:pPr>
            <w:r>
              <w:rPr>
                <w:rFonts w:hint="eastAsia" w:ascii="宋体" w:hAnsi="宋体"/>
                <w:sz w:val="18"/>
                <w:szCs w:val="18"/>
              </w:rPr>
              <w:t>检验依据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6" w:type="dxa"/>
            <w:vMerge w:val="continue"/>
            <w:shd w:val="clear" w:color="auto" w:fill="auto"/>
          </w:tcPr>
          <w:p>
            <w:pPr>
              <w:rPr>
                <w:rFonts w:ascii="宋体" w:hAnsi="宋体"/>
                <w:sz w:val="18"/>
                <w:szCs w:val="18"/>
              </w:rPr>
            </w:pPr>
          </w:p>
        </w:tc>
        <w:tc>
          <w:tcPr>
            <w:tcW w:w="992" w:type="dxa"/>
            <w:shd w:val="clear" w:color="auto" w:fill="auto"/>
            <w:vAlign w:val="center"/>
          </w:tcPr>
          <w:p>
            <w:pPr>
              <w:jc w:val="center"/>
              <w:rPr>
                <w:rFonts w:ascii="宋体" w:hAnsi="宋体"/>
                <w:sz w:val="18"/>
                <w:szCs w:val="18"/>
              </w:rPr>
            </w:pPr>
            <w:r>
              <w:rPr>
                <w:rFonts w:hint="eastAsia" w:ascii="宋体" w:hAnsi="宋体"/>
                <w:sz w:val="18"/>
                <w:szCs w:val="18"/>
              </w:rPr>
              <w:t>n</w:t>
            </w:r>
          </w:p>
        </w:tc>
        <w:tc>
          <w:tcPr>
            <w:tcW w:w="992" w:type="dxa"/>
            <w:shd w:val="clear" w:color="auto" w:fill="auto"/>
            <w:vAlign w:val="center"/>
          </w:tcPr>
          <w:p>
            <w:pPr>
              <w:jc w:val="center"/>
              <w:rPr>
                <w:rFonts w:ascii="宋体" w:hAnsi="宋体"/>
                <w:sz w:val="18"/>
                <w:szCs w:val="18"/>
              </w:rPr>
            </w:pPr>
            <w:r>
              <w:rPr>
                <w:rFonts w:hint="eastAsia" w:ascii="宋体" w:hAnsi="宋体"/>
                <w:sz w:val="18"/>
                <w:szCs w:val="18"/>
              </w:rPr>
              <w:t>c</w:t>
            </w:r>
          </w:p>
        </w:tc>
        <w:tc>
          <w:tcPr>
            <w:tcW w:w="993" w:type="dxa"/>
            <w:shd w:val="clear" w:color="auto" w:fill="auto"/>
            <w:vAlign w:val="center"/>
          </w:tcPr>
          <w:p>
            <w:pPr>
              <w:jc w:val="center"/>
              <w:rPr>
                <w:rFonts w:ascii="宋体" w:hAnsi="宋体"/>
                <w:sz w:val="18"/>
                <w:szCs w:val="18"/>
              </w:rPr>
            </w:pPr>
            <w:r>
              <w:rPr>
                <w:rFonts w:hint="eastAsia" w:ascii="宋体" w:hAnsi="宋体"/>
                <w:sz w:val="18"/>
                <w:szCs w:val="18"/>
              </w:rPr>
              <w:t>m</w:t>
            </w:r>
          </w:p>
        </w:tc>
        <w:tc>
          <w:tcPr>
            <w:tcW w:w="992" w:type="dxa"/>
            <w:shd w:val="clear" w:color="auto" w:fill="auto"/>
            <w:vAlign w:val="center"/>
          </w:tcPr>
          <w:p>
            <w:pPr>
              <w:jc w:val="center"/>
              <w:rPr>
                <w:rFonts w:ascii="宋体" w:hAnsi="宋体"/>
                <w:sz w:val="18"/>
                <w:szCs w:val="18"/>
              </w:rPr>
            </w:pPr>
            <w:r>
              <w:rPr>
                <w:rFonts w:hint="eastAsia" w:ascii="宋体" w:hAnsi="宋体"/>
                <w:sz w:val="18"/>
                <w:szCs w:val="18"/>
              </w:rPr>
              <w:t>M</w:t>
            </w:r>
          </w:p>
        </w:tc>
        <w:tc>
          <w:tcPr>
            <w:tcW w:w="1843" w:type="dxa"/>
            <w:vMerge w:val="continue"/>
            <w:shd w:val="clear" w:color="auto" w:fill="auto"/>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686" w:type="dxa"/>
            <w:shd w:val="clear" w:color="auto" w:fill="auto"/>
          </w:tcPr>
          <w:p>
            <w:pPr>
              <w:rPr>
                <w:rFonts w:ascii="宋体" w:hAnsi="宋体"/>
                <w:sz w:val="18"/>
                <w:szCs w:val="18"/>
              </w:rPr>
            </w:pPr>
            <w:r>
              <w:rPr>
                <w:rFonts w:hint="eastAsia" w:ascii="宋体" w:hAnsi="宋体"/>
                <w:sz w:val="18"/>
                <w:szCs w:val="18"/>
              </w:rPr>
              <w:t xml:space="preserve">大肠菌群/（CFU/g）                   </w:t>
            </w:r>
          </w:p>
        </w:tc>
        <w:tc>
          <w:tcPr>
            <w:tcW w:w="992" w:type="dxa"/>
            <w:shd w:val="clear" w:color="auto" w:fill="auto"/>
            <w:vAlign w:val="center"/>
          </w:tcPr>
          <w:p>
            <w:pPr>
              <w:jc w:val="center"/>
              <w:rPr>
                <w:rFonts w:ascii="宋体" w:hAnsi="宋体"/>
                <w:sz w:val="18"/>
                <w:szCs w:val="18"/>
              </w:rPr>
            </w:pPr>
            <w:r>
              <w:rPr>
                <w:rFonts w:hint="eastAsia" w:ascii="宋体" w:hAnsi="宋体"/>
                <w:sz w:val="18"/>
                <w:szCs w:val="18"/>
              </w:rPr>
              <w:t>5</w:t>
            </w:r>
          </w:p>
        </w:tc>
        <w:tc>
          <w:tcPr>
            <w:tcW w:w="992" w:type="dxa"/>
            <w:shd w:val="clear" w:color="auto" w:fill="auto"/>
            <w:vAlign w:val="center"/>
          </w:tcPr>
          <w:p>
            <w:pPr>
              <w:jc w:val="center"/>
              <w:rPr>
                <w:rFonts w:ascii="宋体" w:hAnsi="宋体"/>
                <w:sz w:val="18"/>
                <w:szCs w:val="18"/>
              </w:rPr>
            </w:pPr>
            <w:r>
              <w:rPr>
                <w:rFonts w:hint="eastAsia" w:ascii="宋体" w:hAnsi="宋体"/>
                <w:sz w:val="18"/>
                <w:szCs w:val="18"/>
              </w:rPr>
              <w:t>2</w:t>
            </w:r>
          </w:p>
        </w:tc>
        <w:tc>
          <w:tcPr>
            <w:tcW w:w="993" w:type="dxa"/>
            <w:shd w:val="clear" w:color="auto" w:fill="auto"/>
            <w:vAlign w:val="center"/>
          </w:tcPr>
          <w:p>
            <w:pPr>
              <w:jc w:val="center"/>
              <w:rPr>
                <w:rFonts w:ascii="宋体" w:hAnsi="宋体"/>
                <w:sz w:val="18"/>
                <w:szCs w:val="18"/>
              </w:rPr>
            </w:pPr>
            <w:r>
              <w:rPr>
                <w:rFonts w:hint="eastAsia" w:ascii="宋体" w:hAnsi="宋体"/>
                <w:sz w:val="18"/>
                <w:szCs w:val="18"/>
              </w:rPr>
              <w:t>10</w:t>
            </w:r>
          </w:p>
        </w:tc>
        <w:tc>
          <w:tcPr>
            <w:tcW w:w="992" w:type="dxa"/>
            <w:shd w:val="clear" w:color="auto" w:fill="auto"/>
            <w:vAlign w:val="center"/>
          </w:tcPr>
          <w:p>
            <w:pPr>
              <w:jc w:val="center"/>
              <w:rPr>
                <w:rFonts w:ascii="宋体" w:hAnsi="宋体"/>
                <w:sz w:val="18"/>
                <w:szCs w:val="18"/>
              </w:rPr>
            </w:pPr>
            <w:r>
              <w:rPr>
                <w:rFonts w:hint="eastAsia" w:ascii="宋体" w:hAnsi="宋体"/>
                <w:sz w:val="18"/>
                <w:szCs w:val="18"/>
              </w:rPr>
              <w:t>10</w:t>
            </w:r>
            <w:r>
              <w:rPr>
                <w:rFonts w:hint="eastAsia" w:ascii="宋体" w:hAnsi="宋体"/>
                <w:sz w:val="18"/>
                <w:szCs w:val="18"/>
                <w:vertAlign w:val="superscript"/>
              </w:rPr>
              <w:t>2</w:t>
            </w:r>
          </w:p>
        </w:tc>
        <w:tc>
          <w:tcPr>
            <w:tcW w:w="1843" w:type="dxa"/>
            <w:shd w:val="clear" w:color="auto" w:fill="auto"/>
            <w:vAlign w:val="center"/>
          </w:tcPr>
          <w:p>
            <w:pPr>
              <w:jc w:val="center"/>
              <w:rPr>
                <w:rFonts w:ascii="宋体" w:hAnsi="宋体"/>
                <w:sz w:val="18"/>
                <w:szCs w:val="18"/>
              </w:rPr>
            </w:pPr>
            <w:r>
              <w:rPr>
                <w:rFonts w:ascii="宋体" w:hAnsi="宋体"/>
                <w:sz w:val="18"/>
                <w:szCs w:val="18"/>
              </w:rPr>
              <w:t>GB 4789.3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3686" w:type="dxa"/>
            <w:shd w:val="clear" w:color="auto" w:fill="auto"/>
          </w:tcPr>
          <w:p>
            <w:pPr>
              <w:rPr>
                <w:rFonts w:ascii="宋体" w:hAnsi="宋体"/>
                <w:sz w:val="18"/>
                <w:szCs w:val="18"/>
              </w:rPr>
            </w:pPr>
            <w:r>
              <w:rPr>
                <w:rFonts w:hint="eastAsia" w:ascii="宋体" w:hAnsi="宋体"/>
                <w:sz w:val="18"/>
                <w:szCs w:val="18"/>
              </w:rPr>
              <w:t>霉菌/（CFU/g）                      ≤</w:t>
            </w:r>
          </w:p>
        </w:tc>
        <w:tc>
          <w:tcPr>
            <w:tcW w:w="3969" w:type="dxa"/>
            <w:gridSpan w:val="4"/>
            <w:shd w:val="clear" w:color="auto" w:fill="auto"/>
            <w:vAlign w:val="center"/>
          </w:tcPr>
          <w:p>
            <w:pPr>
              <w:jc w:val="center"/>
              <w:rPr>
                <w:rFonts w:ascii="宋体" w:hAnsi="宋体"/>
                <w:sz w:val="18"/>
                <w:szCs w:val="18"/>
              </w:rPr>
            </w:pPr>
            <w:r>
              <w:rPr>
                <w:rFonts w:hint="eastAsia" w:ascii="宋体" w:hAnsi="宋体"/>
                <w:sz w:val="18"/>
                <w:szCs w:val="18"/>
              </w:rPr>
              <w:t>25</w:t>
            </w:r>
          </w:p>
        </w:tc>
        <w:tc>
          <w:tcPr>
            <w:tcW w:w="1843" w:type="dxa"/>
            <w:shd w:val="clear" w:color="auto" w:fill="auto"/>
            <w:vAlign w:val="center"/>
          </w:tcPr>
          <w:p>
            <w:pPr>
              <w:jc w:val="center"/>
              <w:rPr>
                <w:rFonts w:ascii="宋体" w:hAnsi="宋体"/>
                <w:sz w:val="18"/>
                <w:szCs w:val="18"/>
              </w:rPr>
            </w:pPr>
            <w:r>
              <w:rPr>
                <w:rFonts w:ascii="宋体" w:hAnsi="宋体"/>
                <w:sz w:val="18"/>
                <w:szCs w:val="18"/>
              </w:rPr>
              <w:t>GB 4789.15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498" w:type="dxa"/>
            <w:gridSpan w:val="6"/>
            <w:shd w:val="clear" w:color="auto" w:fill="auto"/>
          </w:tcPr>
          <w:p>
            <w:pPr>
              <w:jc w:val="left"/>
              <w:rPr>
                <w:rFonts w:ascii="宋体" w:hAnsi="宋体"/>
                <w:sz w:val="18"/>
                <w:szCs w:val="18"/>
              </w:rPr>
            </w:pPr>
            <w:r>
              <w:rPr>
                <w:rFonts w:hint="eastAsia" w:ascii="宋体" w:hAnsi="宋体"/>
                <w:sz w:val="18"/>
                <w:szCs w:val="18"/>
                <w:vertAlign w:val="superscript"/>
              </w:rPr>
              <w:t xml:space="preserve">                </w:t>
            </w:r>
            <w:r>
              <w:rPr>
                <w:rFonts w:hint="eastAsia" w:ascii="宋体" w:hAnsi="宋体"/>
                <w:sz w:val="18"/>
                <w:szCs w:val="18"/>
              </w:rPr>
              <w:t xml:space="preserve"> 注：</w:t>
            </w:r>
            <w:r>
              <w:rPr>
                <w:rFonts w:hint="eastAsia" w:ascii="宋体" w:hAnsi="宋体"/>
                <w:sz w:val="18"/>
                <w:szCs w:val="18"/>
                <w:vertAlign w:val="superscript"/>
              </w:rPr>
              <w:t>a</w:t>
            </w:r>
            <w:r>
              <w:rPr>
                <w:rFonts w:hint="eastAsia" w:ascii="宋体" w:hAnsi="宋体"/>
                <w:sz w:val="18"/>
                <w:szCs w:val="18"/>
              </w:rPr>
              <w:t>样品的采集及处理按GB 4789.1执行</w:t>
            </w:r>
          </w:p>
        </w:tc>
      </w:tr>
    </w:tbl>
    <w:p>
      <w:pPr>
        <w:pStyle w:val="107"/>
        <w:numPr>
          <w:ilvl w:val="0"/>
          <w:numId w:val="0"/>
        </w:numPr>
        <w:spacing w:before="156" w:after="156"/>
      </w:pPr>
    </w:p>
    <w:p>
      <w:pPr>
        <w:pStyle w:val="107"/>
        <w:spacing w:before="156" w:after="156"/>
      </w:pPr>
      <w:r>
        <w:rPr>
          <w:rFonts w:hint="eastAsia"/>
        </w:rPr>
        <w:t>污染物限量</w:t>
      </w:r>
    </w:p>
    <w:p>
      <w:pPr>
        <w:pStyle w:val="58"/>
        <w:ind w:firstLine="420"/>
      </w:pPr>
      <w:r>
        <w:rPr>
          <w:rFonts w:hint="eastAsia"/>
        </w:rPr>
        <w:t>应符合GB 2762的规定。</w:t>
      </w:r>
    </w:p>
    <w:p>
      <w:pPr>
        <w:pStyle w:val="107"/>
        <w:spacing w:before="156" w:after="156"/>
      </w:pPr>
      <w:r>
        <w:rPr>
          <w:rFonts w:hint="eastAsia"/>
        </w:rPr>
        <w:t>农药最大残留限量</w:t>
      </w:r>
    </w:p>
    <w:p>
      <w:pPr>
        <w:pStyle w:val="58"/>
        <w:ind w:firstLine="420"/>
      </w:pPr>
      <w:r>
        <w:rPr>
          <w:rFonts w:hint="eastAsia"/>
        </w:rPr>
        <w:t>应符合GB 2763的规定。</w:t>
      </w:r>
    </w:p>
    <w:p>
      <w:pPr>
        <w:pStyle w:val="107"/>
        <w:spacing w:before="156" w:after="156"/>
      </w:pPr>
      <w:r>
        <w:rPr>
          <w:rFonts w:hint="eastAsia"/>
        </w:rPr>
        <w:t>净含量</w:t>
      </w:r>
    </w:p>
    <w:p>
      <w:pPr>
        <w:pStyle w:val="58"/>
        <w:ind w:firstLine="420"/>
      </w:pPr>
      <w:r>
        <w:rPr>
          <w:rFonts w:hint="eastAsia"/>
        </w:rPr>
        <w:t>按JJF 1070规定执行。</w:t>
      </w:r>
    </w:p>
    <w:p>
      <w:pPr>
        <w:pStyle w:val="106"/>
        <w:spacing w:before="312" w:after="312"/>
      </w:pPr>
      <w:r>
        <w:rPr>
          <w:rFonts w:hint="eastAsia"/>
        </w:rPr>
        <w:t>生产加工过程卫生要求</w:t>
      </w:r>
    </w:p>
    <w:p>
      <w:pPr>
        <w:pStyle w:val="58"/>
        <w:ind w:firstLine="420"/>
      </w:pPr>
      <w:r>
        <w:rPr>
          <w:rFonts w:hint="eastAsia"/>
        </w:rPr>
        <w:t>按GB 14881规定执行。</w:t>
      </w:r>
    </w:p>
    <w:p>
      <w:pPr>
        <w:pStyle w:val="106"/>
        <w:spacing w:before="312" w:after="312"/>
      </w:pPr>
      <w:r>
        <w:rPr>
          <w:rFonts w:hint="eastAsia"/>
        </w:rPr>
        <w:t>标志、包装、运输和贮存</w:t>
      </w:r>
    </w:p>
    <w:p>
      <w:pPr>
        <w:pStyle w:val="107"/>
        <w:spacing w:before="156" w:after="156"/>
      </w:pPr>
      <w:r>
        <w:rPr>
          <w:rFonts w:hint="eastAsia"/>
        </w:rPr>
        <w:t>标志</w:t>
      </w:r>
    </w:p>
    <w:p>
      <w:pPr>
        <w:pStyle w:val="167"/>
      </w:pPr>
      <w:r>
        <w:rPr>
          <w:rFonts w:hint="eastAsia"/>
        </w:rPr>
        <w:t>标签标识应符合GB 7718、GB 28050和地理标志产品专用标志的规定，还应标注地理标志产品名称和产地。产品名称应按本标准规定的名称和等级标注。</w:t>
      </w:r>
    </w:p>
    <w:p>
      <w:pPr>
        <w:pStyle w:val="167"/>
      </w:pPr>
      <w:r>
        <w:rPr>
          <w:rFonts w:hint="eastAsia"/>
        </w:rPr>
        <w:t>外包装物包装储运标识应符合GB/T 191 的要求。</w:t>
      </w:r>
    </w:p>
    <w:p>
      <w:pPr>
        <w:pStyle w:val="107"/>
        <w:spacing w:before="156" w:after="156"/>
      </w:pPr>
      <w:r>
        <w:rPr>
          <w:rFonts w:hint="eastAsia"/>
        </w:rPr>
        <w:t>包装</w:t>
      </w:r>
    </w:p>
    <w:p>
      <w:pPr>
        <w:pStyle w:val="58"/>
        <w:ind w:firstLine="420"/>
        <w:rPr>
          <w:sz w:val="24"/>
        </w:rPr>
      </w:pPr>
      <w:r>
        <w:rPr>
          <w:rFonts w:hint="eastAsia"/>
        </w:rPr>
        <w:t xml:space="preserve">包装材料应符合国家有关食品包装卫生规定。包装物应牢固密封。     </w:t>
      </w:r>
    </w:p>
    <w:p>
      <w:pPr>
        <w:pStyle w:val="107"/>
        <w:spacing w:before="156" w:after="156"/>
      </w:pPr>
      <w:r>
        <w:rPr>
          <w:rFonts w:hint="eastAsia"/>
        </w:rPr>
        <w:t>运输和贮存</w:t>
      </w:r>
    </w:p>
    <w:p>
      <w:pPr>
        <w:pStyle w:val="167"/>
      </w:pPr>
      <w:r>
        <w:rPr>
          <w:rFonts w:hint="eastAsia"/>
        </w:rPr>
        <w:t>应使用符合卫生要求的运输工具运输，运输过程中应防雨、防潮和防止被污染。</w:t>
      </w:r>
      <w:r>
        <w:t xml:space="preserve"> </w:t>
      </w:r>
    </w:p>
    <w:p>
      <w:pPr>
        <w:pStyle w:val="167"/>
      </w:pPr>
      <w:r>
        <w:rPr>
          <w:rFonts w:hint="eastAsia"/>
        </w:rPr>
        <w:t>贮存场所应清洁、干燥、防潮、防鼠、无阳光直射，应注意保持通风。生榛子-18℃冷冻保存12个月，熟榛子常温保存12个月。</w:t>
      </w:r>
    </w:p>
    <w:p>
      <w:pPr>
        <w:pStyle w:val="167"/>
        <w:sectPr>
          <w:pgSz w:w="11906" w:h="16838"/>
          <w:pgMar w:top="1928" w:right="1134" w:bottom="1134" w:left="1134" w:header="1418" w:footer="1134" w:gutter="284"/>
          <w:pgNumType w:start="1"/>
          <w:cols w:space="425" w:num="1"/>
          <w:formProt w:val="0"/>
          <w:docGrid w:type="lines" w:linePitch="312" w:charSpace="0"/>
        </w:sectPr>
      </w:pPr>
      <w:r>
        <w:rPr>
          <w:rFonts w:hint="eastAsia"/>
        </w:rPr>
        <w:t>不得与有毒、有害、有腐蚀性、有异味等污染物品混合存放及运输。</w:t>
      </w:r>
    </w:p>
    <w:bookmarkEnd w:id="22"/>
    <w:p>
      <w:pPr>
        <w:pStyle w:val="200"/>
        <w:rPr>
          <w:vanish w:val="0"/>
        </w:rPr>
      </w:pPr>
      <w:bookmarkStart w:id="44" w:name="BookMark5"/>
    </w:p>
    <w:p>
      <w:pPr>
        <w:pStyle w:val="201"/>
        <w:rPr>
          <w:vanish w:val="0"/>
        </w:rPr>
      </w:pPr>
    </w:p>
    <w:p>
      <w:pPr>
        <w:pStyle w:val="78"/>
        <w:spacing w:after="156"/>
      </w:pPr>
      <w:r>
        <w:br w:type="textWrapping"/>
      </w:r>
      <w:r>
        <w:rPr>
          <w:rFonts w:hint="eastAsia"/>
        </w:rPr>
        <w:t>（规范性）</w:t>
      </w:r>
      <w:r>
        <w:br w:type="textWrapping"/>
      </w:r>
      <w:r>
        <w:rPr>
          <w:rFonts w:hint="eastAsia"/>
        </w:rPr>
        <w:t>三块石大果榛子地理标志产品保护范围</w:t>
      </w:r>
    </w:p>
    <w:p>
      <w:pPr>
        <w:pStyle w:val="184"/>
        <w:rPr>
          <w:sz w:val="21"/>
          <w:szCs w:val="21"/>
        </w:rPr>
      </w:pPr>
      <w:r>
        <w:rPr>
          <w:rFonts w:hint="eastAsia"/>
          <w:sz w:val="21"/>
          <w:szCs w:val="21"/>
        </w:rPr>
        <w:t>三块石大果榛子地理标志保护范围见图A.1</w:t>
      </w:r>
    </w:p>
    <w:p>
      <w:pPr>
        <w:pStyle w:val="58"/>
        <w:ind w:firstLine="420"/>
      </w:pPr>
      <w:r>
        <w:drawing>
          <wp:inline distT="0" distB="0" distL="0" distR="0">
            <wp:extent cx="5296535" cy="3999230"/>
            <wp:effectExtent l="0" t="0" r="0" b="1270"/>
            <wp:docPr id="4" name="图片 4" descr="C:\Users\cw\AppData\Local\Temp\WeChat Files\24f35648ba6a6c08c9229dd10d382b3.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4" descr="C:\Users\cw\AppData\Local\Temp\WeChat Files\24f35648ba6a6c08c9229dd10d382b3.png"/>
                    <pic:cNvPicPr>
                      <a:picLocks noChangeAspect="true" noChangeArrowheads="true"/>
                    </pic:cNvPicPr>
                  </pic:nvPicPr>
                  <pic:blipFill>
                    <a:blip r:embed="rId16">
                      <a:extLst>
                        <a:ext uri="{28A0092B-C50C-407E-A947-70E740481C1C}">
                          <a14:useLocalDpi xmlns:a14="http://schemas.microsoft.com/office/drawing/2010/main" val="false"/>
                        </a:ext>
                      </a:extLst>
                    </a:blip>
                    <a:srcRect/>
                    <a:stretch>
                      <a:fillRect/>
                    </a:stretch>
                  </pic:blipFill>
                  <pic:spPr>
                    <a:xfrm>
                      <a:off x="0" y="0"/>
                      <a:ext cx="5296535" cy="3999230"/>
                    </a:xfrm>
                    <a:prstGeom prst="rect">
                      <a:avLst/>
                    </a:prstGeom>
                    <a:noFill/>
                    <a:ln>
                      <a:noFill/>
                    </a:ln>
                  </pic:spPr>
                </pic:pic>
              </a:graphicData>
            </a:graphic>
          </wp:inline>
        </w:drawing>
      </w:r>
    </w:p>
    <w:p>
      <w:pPr>
        <w:pStyle w:val="85"/>
        <w:spacing w:before="156" w:after="156"/>
      </w:pPr>
      <w:r>
        <w:rPr>
          <w:rFonts w:hint="eastAsia"/>
        </w:rPr>
        <w:t xml:space="preserve"> </w:t>
      </w:r>
    </w:p>
    <w:p>
      <w:pPr>
        <w:pStyle w:val="200"/>
      </w:pPr>
      <w:r>
        <w:t>_________________________________</w:t>
      </w:r>
    </w:p>
    <w:p>
      <w:pPr>
        <w:pStyle w:val="200"/>
      </w:pPr>
    </w:p>
    <w:p>
      <w:pPr>
        <w:pStyle w:val="200"/>
      </w:pPr>
      <w:r>
        <w:t>_________________________________</w:t>
      </w:r>
    </w:p>
    <w:p>
      <w:pPr>
        <w:pStyle w:val="200"/>
      </w:pPr>
    </w:p>
    <w:p>
      <w:pPr>
        <w:pStyle w:val="200"/>
        <w:framePr w:wrap="auto" w:vAnchor="margin" w:hAnchor="text" w:y="1"/>
      </w:pPr>
      <w:r>
        <w:t>_________________________________</w:t>
      </w:r>
    </w:p>
    <w:p>
      <w:pPr>
        <w:pStyle w:val="200"/>
        <w:framePr w:wrap="auto" w:vAnchor="margin" w:hAnchor="text" w:y="1"/>
      </w:pPr>
    </w:p>
    <w:bookmarkEnd w:id="44"/>
    <w:p>
      <w:pPr>
        <w:pStyle w:val="58"/>
        <w:ind w:firstLine="0" w:firstLineChars="0"/>
        <w:jc w:val="center"/>
      </w:pPr>
      <w:bookmarkStart w:id="45"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仿宋"/>
    <w:panose1 w:val="00000000000000000000"/>
    <w:charset w:val="86"/>
    <w:family w:val="auto"/>
    <w:pitch w:val="default"/>
    <w:sig w:usb0="00000000" w:usb1="00000000" w:usb2="00000016" w:usb3="00000000" w:csb0="0004000F" w:csb1="00000000"/>
  </w:font>
  <w:font w:name="等线 Light">
    <w:altName w:val="仿宋"/>
    <w:panose1 w:val="00000000000000000000"/>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ind w:left="0" w:firstLine="0"/>
      </w:pPr>
      <w:rPr>
        <w:rFonts w:hint="eastAsia" w:ascii="黑体" w:hAnsi="Times New Roman" w:eastAsia="黑体"/>
        <w:b w:val="0"/>
        <w:i w:val="0"/>
        <w:sz w:val="21"/>
      </w:rPr>
    </w:lvl>
    <w:lvl w:ilvl="3" w:tentative="0">
      <w:start w:val="1"/>
      <w:numFmt w:val="decimal"/>
      <w:pStyle w:val="237"/>
      <w:suff w:val="nothing"/>
      <w:lvlText w:val="%1.%2.%3.%4　"/>
      <w:lvlJc w:val="left"/>
      <w:pPr>
        <w:ind w:left="0" w:firstLine="0"/>
      </w:pPr>
      <w:rPr>
        <w:rFonts w:hint="eastAsia" w:ascii="黑体" w:hAnsi="Times New Roman" w:eastAsia="黑体"/>
        <w:b w:val="0"/>
        <w:i w:val="0"/>
        <w:sz w:val="21"/>
      </w:rPr>
    </w:lvl>
    <w:lvl w:ilvl="4" w:tentative="0">
      <w:start w:val="1"/>
      <w:numFmt w:val="decimal"/>
      <w:pStyle w:val="238"/>
      <w:suff w:val="nothing"/>
      <w:lvlText w:val="%1.%2.%3.%4.%5　"/>
      <w:lvlJc w:val="left"/>
      <w:pPr>
        <w:ind w:left="0" w:firstLine="0"/>
      </w:pPr>
      <w:rPr>
        <w:rFonts w:hint="eastAsia" w:ascii="黑体" w:hAnsi="Times New Roman" w:eastAsia="黑体"/>
        <w:b w:val="0"/>
        <w:i w:val="0"/>
        <w:sz w:val="21"/>
      </w:rPr>
    </w:lvl>
    <w:lvl w:ilvl="5" w:tentative="0">
      <w:start w:val="1"/>
      <w:numFmt w:val="decimal"/>
      <w:pStyle w:val="23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4253"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142"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6B"/>
    <w:rsid w:val="0000040A"/>
    <w:rsid w:val="00000A94"/>
    <w:rsid w:val="00001972"/>
    <w:rsid w:val="00001D9A"/>
    <w:rsid w:val="00007B3A"/>
    <w:rsid w:val="000107E0"/>
    <w:rsid w:val="00011FDE"/>
    <w:rsid w:val="00012FFD"/>
    <w:rsid w:val="00014162"/>
    <w:rsid w:val="00014340"/>
    <w:rsid w:val="00016A9C"/>
    <w:rsid w:val="00020401"/>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B4C"/>
    <w:rsid w:val="000B6A0B"/>
    <w:rsid w:val="000C0DEA"/>
    <w:rsid w:val="000C0F6C"/>
    <w:rsid w:val="000C11DB"/>
    <w:rsid w:val="000C1492"/>
    <w:rsid w:val="000C2FBD"/>
    <w:rsid w:val="000C4B41"/>
    <w:rsid w:val="000C57D6"/>
    <w:rsid w:val="000C6362"/>
    <w:rsid w:val="000C7666"/>
    <w:rsid w:val="000D0A9C"/>
    <w:rsid w:val="000D1795"/>
    <w:rsid w:val="000D2D82"/>
    <w:rsid w:val="000D329A"/>
    <w:rsid w:val="000D432B"/>
    <w:rsid w:val="000D4B9C"/>
    <w:rsid w:val="000D4EB6"/>
    <w:rsid w:val="000D753B"/>
    <w:rsid w:val="000E4C9E"/>
    <w:rsid w:val="000E6FD7"/>
    <w:rsid w:val="000F06E1"/>
    <w:rsid w:val="000F0E3C"/>
    <w:rsid w:val="000F19D5"/>
    <w:rsid w:val="000F4AEA"/>
    <w:rsid w:val="000F633F"/>
    <w:rsid w:val="000F67E9"/>
    <w:rsid w:val="00104926"/>
    <w:rsid w:val="00104ABE"/>
    <w:rsid w:val="00113B1E"/>
    <w:rsid w:val="0011711C"/>
    <w:rsid w:val="0012059C"/>
    <w:rsid w:val="00124E4F"/>
    <w:rsid w:val="001260B7"/>
    <w:rsid w:val="001265CB"/>
    <w:rsid w:val="001321C6"/>
    <w:rsid w:val="001325C4"/>
    <w:rsid w:val="00133010"/>
    <w:rsid w:val="001338EE"/>
    <w:rsid w:val="00133AAE"/>
    <w:rsid w:val="00135323"/>
    <w:rsid w:val="001356C4"/>
    <w:rsid w:val="00135D9B"/>
    <w:rsid w:val="00141114"/>
    <w:rsid w:val="00142969"/>
    <w:rsid w:val="001446C2"/>
    <w:rsid w:val="001457E7"/>
    <w:rsid w:val="00145D9D"/>
    <w:rsid w:val="00146388"/>
    <w:rsid w:val="001529E5"/>
    <w:rsid w:val="00153C7E"/>
    <w:rsid w:val="0015637A"/>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8BE"/>
    <w:rsid w:val="00190087"/>
    <w:rsid w:val="001913C4"/>
    <w:rsid w:val="0019348F"/>
    <w:rsid w:val="00193A07"/>
    <w:rsid w:val="00194C95"/>
    <w:rsid w:val="00195C34"/>
    <w:rsid w:val="00196EF5"/>
    <w:rsid w:val="001A0DB8"/>
    <w:rsid w:val="001A1A53"/>
    <w:rsid w:val="001A234A"/>
    <w:rsid w:val="001A2F6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01F"/>
    <w:rsid w:val="001E3CC4"/>
    <w:rsid w:val="001E4882"/>
    <w:rsid w:val="001E6241"/>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433"/>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E43"/>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4A2"/>
    <w:rsid w:val="002A25DC"/>
    <w:rsid w:val="002A3AAB"/>
    <w:rsid w:val="002A4CEA"/>
    <w:rsid w:val="002A568D"/>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17B4"/>
    <w:rsid w:val="003221B4"/>
    <w:rsid w:val="0032258D"/>
    <w:rsid w:val="00322E62"/>
    <w:rsid w:val="00324D13"/>
    <w:rsid w:val="00324D2A"/>
    <w:rsid w:val="00324EDD"/>
    <w:rsid w:val="00331547"/>
    <w:rsid w:val="003331E4"/>
    <w:rsid w:val="00336C64"/>
    <w:rsid w:val="00337162"/>
    <w:rsid w:val="0034194F"/>
    <w:rsid w:val="003444E2"/>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307"/>
    <w:rsid w:val="00376713"/>
    <w:rsid w:val="00381815"/>
    <w:rsid w:val="003819AF"/>
    <w:rsid w:val="003820E9"/>
    <w:rsid w:val="00382DE7"/>
    <w:rsid w:val="00382FE1"/>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D7DBE"/>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679"/>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49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B97"/>
    <w:rsid w:val="004B2E1B"/>
    <w:rsid w:val="004B3AA8"/>
    <w:rsid w:val="004B3E93"/>
    <w:rsid w:val="004C1FBC"/>
    <w:rsid w:val="004C3F1D"/>
    <w:rsid w:val="004C458D"/>
    <w:rsid w:val="004C7441"/>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C9C"/>
    <w:rsid w:val="005073F0"/>
    <w:rsid w:val="00510A7B"/>
    <w:rsid w:val="00512F6E"/>
    <w:rsid w:val="00513038"/>
    <w:rsid w:val="00514174"/>
    <w:rsid w:val="00516088"/>
    <w:rsid w:val="00516B0B"/>
    <w:rsid w:val="00520E23"/>
    <w:rsid w:val="005220EC"/>
    <w:rsid w:val="00523F95"/>
    <w:rsid w:val="00524D65"/>
    <w:rsid w:val="00525B16"/>
    <w:rsid w:val="00533D04"/>
    <w:rsid w:val="00534804"/>
    <w:rsid w:val="00534BDF"/>
    <w:rsid w:val="005354EA"/>
    <w:rsid w:val="0053585F"/>
    <w:rsid w:val="00535EC4"/>
    <w:rsid w:val="00535ED9"/>
    <w:rsid w:val="0053692B"/>
    <w:rsid w:val="00541853"/>
    <w:rsid w:val="00541E45"/>
    <w:rsid w:val="00543BDA"/>
    <w:rsid w:val="005441CC"/>
    <w:rsid w:val="005479DA"/>
    <w:rsid w:val="00547BCC"/>
    <w:rsid w:val="0055013B"/>
    <w:rsid w:val="00551F6F"/>
    <w:rsid w:val="00555044"/>
    <w:rsid w:val="00556732"/>
    <w:rsid w:val="00561475"/>
    <w:rsid w:val="0056487B"/>
    <w:rsid w:val="00564FB9"/>
    <w:rsid w:val="00573D27"/>
    <w:rsid w:val="00573D9E"/>
    <w:rsid w:val="00575D25"/>
    <w:rsid w:val="00576279"/>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CA9"/>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6FF"/>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65C"/>
    <w:rsid w:val="00641A1F"/>
    <w:rsid w:val="00645904"/>
    <w:rsid w:val="0064777C"/>
    <w:rsid w:val="00651ACB"/>
    <w:rsid w:val="00651C47"/>
    <w:rsid w:val="00652AB2"/>
    <w:rsid w:val="00653FED"/>
    <w:rsid w:val="00654EC0"/>
    <w:rsid w:val="0065525B"/>
    <w:rsid w:val="00655D4F"/>
    <w:rsid w:val="00656D29"/>
    <w:rsid w:val="00660290"/>
    <w:rsid w:val="006640E5"/>
    <w:rsid w:val="006646F1"/>
    <w:rsid w:val="00664929"/>
    <w:rsid w:val="00664F62"/>
    <w:rsid w:val="006655E1"/>
    <w:rsid w:val="00666D3C"/>
    <w:rsid w:val="00672060"/>
    <w:rsid w:val="00672BFD"/>
    <w:rsid w:val="006770F4"/>
    <w:rsid w:val="00677A84"/>
    <w:rsid w:val="0068026D"/>
    <w:rsid w:val="00680A27"/>
    <w:rsid w:val="006816A4"/>
    <w:rsid w:val="006819B8"/>
    <w:rsid w:val="006840A6"/>
    <w:rsid w:val="006850CD"/>
    <w:rsid w:val="00685AAB"/>
    <w:rsid w:val="00693444"/>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2988"/>
    <w:rsid w:val="006D3E96"/>
    <w:rsid w:val="006D4515"/>
    <w:rsid w:val="006D4BB1"/>
    <w:rsid w:val="006D6593"/>
    <w:rsid w:val="006E23EA"/>
    <w:rsid w:val="006F03A8"/>
    <w:rsid w:val="006F04D1"/>
    <w:rsid w:val="006F2ACA"/>
    <w:rsid w:val="006F2ADC"/>
    <w:rsid w:val="006F2BFE"/>
    <w:rsid w:val="006F31E9"/>
    <w:rsid w:val="006F6284"/>
    <w:rsid w:val="007002C5"/>
    <w:rsid w:val="00704387"/>
    <w:rsid w:val="00706A4C"/>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793"/>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856"/>
    <w:rsid w:val="00774DA4"/>
    <w:rsid w:val="00776599"/>
    <w:rsid w:val="0078092A"/>
    <w:rsid w:val="0078114B"/>
    <w:rsid w:val="00781D10"/>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3A0"/>
    <w:rsid w:val="007B7453"/>
    <w:rsid w:val="007C1E8B"/>
    <w:rsid w:val="007C2D89"/>
    <w:rsid w:val="007C4593"/>
    <w:rsid w:val="007C5309"/>
    <w:rsid w:val="007C6069"/>
    <w:rsid w:val="007D06C4"/>
    <w:rsid w:val="007D1352"/>
    <w:rsid w:val="007D2508"/>
    <w:rsid w:val="007D346A"/>
    <w:rsid w:val="007D6518"/>
    <w:rsid w:val="007D76BD"/>
    <w:rsid w:val="007E0BF1"/>
    <w:rsid w:val="007E2449"/>
    <w:rsid w:val="007F0ED8"/>
    <w:rsid w:val="007F0F63"/>
    <w:rsid w:val="007F6874"/>
    <w:rsid w:val="007F75CE"/>
    <w:rsid w:val="008013A4"/>
    <w:rsid w:val="0080151D"/>
    <w:rsid w:val="008027CE"/>
    <w:rsid w:val="00802F42"/>
    <w:rsid w:val="00804383"/>
    <w:rsid w:val="00804BB7"/>
    <w:rsid w:val="00804D41"/>
    <w:rsid w:val="00810257"/>
    <w:rsid w:val="008104F5"/>
    <w:rsid w:val="00811072"/>
    <w:rsid w:val="00811369"/>
    <w:rsid w:val="00815419"/>
    <w:rsid w:val="0081623A"/>
    <w:rsid w:val="008163C8"/>
    <w:rsid w:val="008164A1"/>
    <w:rsid w:val="00817325"/>
    <w:rsid w:val="008209E6"/>
    <w:rsid w:val="00822D16"/>
    <w:rsid w:val="00823303"/>
    <w:rsid w:val="008233B2"/>
    <w:rsid w:val="00823A9F"/>
    <w:rsid w:val="00823C85"/>
    <w:rsid w:val="00825138"/>
    <w:rsid w:val="00826076"/>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6FF"/>
    <w:rsid w:val="008B3615"/>
    <w:rsid w:val="008B4AC4"/>
    <w:rsid w:val="008B50C8"/>
    <w:rsid w:val="008B5281"/>
    <w:rsid w:val="008B7E05"/>
    <w:rsid w:val="008C1797"/>
    <w:rsid w:val="008C219C"/>
    <w:rsid w:val="008C2552"/>
    <w:rsid w:val="008C475E"/>
    <w:rsid w:val="008C619A"/>
    <w:rsid w:val="008C7597"/>
    <w:rsid w:val="008D0CE8"/>
    <w:rsid w:val="008D2D1D"/>
    <w:rsid w:val="008D453D"/>
    <w:rsid w:val="008D53AD"/>
    <w:rsid w:val="008D562B"/>
    <w:rsid w:val="008D5733"/>
    <w:rsid w:val="008D622B"/>
    <w:rsid w:val="008D6642"/>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3C"/>
    <w:rsid w:val="00913CA9"/>
    <w:rsid w:val="00914524"/>
    <w:rsid w:val="009145AE"/>
    <w:rsid w:val="009146CE"/>
    <w:rsid w:val="00914CA7"/>
    <w:rsid w:val="00915822"/>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2D5D"/>
    <w:rsid w:val="0096381A"/>
    <w:rsid w:val="00965E04"/>
    <w:rsid w:val="00966733"/>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50"/>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BD7"/>
    <w:rsid w:val="009E0F62"/>
    <w:rsid w:val="009E3A8D"/>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BA9"/>
    <w:rsid w:val="00A77CCB"/>
    <w:rsid w:val="00A83D8D"/>
    <w:rsid w:val="00A8446B"/>
    <w:rsid w:val="00A8473F"/>
    <w:rsid w:val="00A862D6"/>
    <w:rsid w:val="00A8715E"/>
    <w:rsid w:val="00A9295B"/>
    <w:rsid w:val="00A93B09"/>
    <w:rsid w:val="00A94247"/>
    <w:rsid w:val="00A952D7"/>
    <w:rsid w:val="00A963F7"/>
    <w:rsid w:val="00A968D6"/>
    <w:rsid w:val="00A96AD8"/>
    <w:rsid w:val="00A97B07"/>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37F"/>
    <w:rsid w:val="00AD4126"/>
    <w:rsid w:val="00AD421C"/>
    <w:rsid w:val="00AD434F"/>
    <w:rsid w:val="00AD44FA"/>
    <w:rsid w:val="00AE070A"/>
    <w:rsid w:val="00AE101C"/>
    <w:rsid w:val="00AE2973"/>
    <w:rsid w:val="00AE37E5"/>
    <w:rsid w:val="00AE5EB4"/>
    <w:rsid w:val="00AF0C18"/>
    <w:rsid w:val="00AF47C5"/>
    <w:rsid w:val="00AF5398"/>
    <w:rsid w:val="00B01676"/>
    <w:rsid w:val="00B049AF"/>
    <w:rsid w:val="00B07242"/>
    <w:rsid w:val="00B10534"/>
    <w:rsid w:val="00B113DB"/>
    <w:rsid w:val="00B11D8A"/>
    <w:rsid w:val="00B12981"/>
    <w:rsid w:val="00B12E4A"/>
    <w:rsid w:val="00B13B6B"/>
    <w:rsid w:val="00B147DD"/>
    <w:rsid w:val="00B156FD"/>
    <w:rsid w:val="00B20F3C"/>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AF0"/>
    <w:rsid w:val="00BB5F8F"/>
    <w:rsid w:val="00BB657A"/>
    <w:rsid w:val="00BC1A4E"/>
    <w:rsid w:val="00BC4790"/>
    <w:rsid w:val="00BC5DC7"/>
    <w:rsid w:val="00BC6B8B"/>
    <w:rsid w:val="00BC73D8"/>
    <w:rsid w:val="00BD4B97"/>
    <w:rsid w:val="00BD52D7"/>
    <w:rsid w:val="00BD5AD2"/>
    <w:rsid w:val="00BE22F3"/>
    <w:rsid w:val="00BE5B52"/>
    <w:rsid w:val="00BE7B8D"/>
    <w:rsid w:val="00BF0993"/>
    <w:rsid w:val="00BF10A9"/>
    <w:rsid w:val="00BF1703"/>
    <w:rsid w:val="00BF231C"/>
    <w:rsid w:val="00BF50D3"/>
    <w:rsid w:val="00BF51E5"/>
    <w:rsid w:val="00BF74A6"/>
    <w:rsid w:val="00C013AD"/>
    <w:rsid w:val="00C04904"/>
    <w:rsid w:val="00C056B3"/>
    <w:rsid w:val="00C103E5"/>
    <w:rsid w:val="00C13319"/>
    <w:rsid w:val="00C13EE9"/>
    <w:rsid w:val="00C206B4"/>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32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58D"/>
    <w:rsid w:val="00CF048A"/>
    <w:rsid w:val="00CF155A"/>
    <w:rsid w:val="00CF2947"/>
    <w:rsid w:val="00CF5D82"/>
    <w:rsid w:val="00CF686F"/>
    <w:rsid w:val="00CF6E60"/>
    <w:rsid w:val="00CF7BCA"/>
    <w:rsid w:val="00D008FD"/>
    <w:rsid w:val="00D0321C"/>
    <w:rsid w:val="00D035EC"/>
    <w:rsid w:val="00D06AB1"/>
    <w:rsid w:val="00D072ED"/>
    <w:rsid w:val="00D07A16"/>
    <w:rsid w:val="00D1067E"/>
    <w:rsid w:val="00D10F50"/>
    <w:rsid w:val="00D1101F"/>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476B2"/>
    <w:rsid w:val="00D51BF3"/>
    <w:rsid w:val="00D66846"/>
    <w:rsid w:val="00D675FB"/>
    <w:rsid w:val="00D71F25"/>
    <w:rsid w:val="00D72A9C"/>
    <w:rsid w:val="00D77031"/>
    <w:rsid w:val="00D842D6"/>
    <w:rsid w:val="00D84941"/>
    <w:rsid w:val="00D84FA1"/>
    <w:rsid w:val="00D851F0"/>
    <w:rsid w:val="00D86DB7"/>
    <w:rsid w:val="00D91A5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0D"/>
    <w:rsid w:val="00DD6BCC"/>
    <w:rsid w:val="00DE0A4B"/>
    <w:rsid w:val="00DE2410"/>
    <w:rsid w:val="00DE2939"/>
    <w:rsid w:val="00DE6E81"/>
    <w:rsid w:val="00DE703F"/>
    <w:rsid w:val="00DE7595"/>
    <w:rsid w:val="00DF1961"/>
    <w:rsid w:val="00DF3E13"/>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95E"/>
    <w:rsid w:val="00E23D99"/>
    <w:rsid w:val="00E2552F"/>
    <w:rsid w:val="00E3137A"/>
    <w:rsid w:val="00E32CCF"/>
    <w:rsid w:val="00E3388E"/>
    <w:rsid w:val="00E34A98"/>
    <w:rsid w:val="00E35D1E"/>
    <w:rsid w:val="00E364F9"/>
    <w:rsid w:val="00E365FA"/>
    <w:rsid w:val="00E36789"/>
    <w:rsid w:val="00E433D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2D75"/>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376"/>
    <w:rsid w:val="00F232B6"/>
    <w:rsid w:val="00F2484D"/>
    <w:rsid w:val="00F25BB6"/>
    <w:rsid w:val="00F26B7E"/>
    <w:rsid w:val="00F26E35"/>
    <w:rsid w:val="00F27721"/>
    <w:rsid w:val="00F27A3B"/>
    <w:rsid w:val="00F31E5C"/>
    <w:rsid w:val="00F3267F"/>
    <w:rsid w:val="00F33817"/>
    <w:rsid w:val="00F420D5"/>
    <w:rsid w:val="00F451EA"/>
    <w:rsid w:val="00F45447"/>
    <w:rsid w:val="00F456C6"/>
    <w:rsid w:val="00F4577B"/>
    <w:rsid w:val="00F45A6B"/>
    <w:rsid w:val="00F46496"/>
    <w:rsid w:val="00F466B3"/>
    <w:rsid w:val="00F474D0"/>
    <w:rsid w:val="00F50179"/>
    <w:rsid w:val="00F515EE"/>
    <w:rsid w:val="00F56511"/>
    <w:rsid w:val="00F6194E"/>
    <w:rsid w:val="00F623AC"/>
    <w:rsid w:val="00F6412A"/>
    <w:rsid w:val="00F65893"/>
    <w:rsid w:val="00F66A4A"/>
    <w:rsid w:val="00F67E85"/>
    <w:rsid w:val="00F71E22"/>
    <w:rsid w:val="00F72142"/>
    <w:rsid w:val="00F72AE7"/>
    <w:rsid w:val="00F81141"/>
    <w:rsid w:val="00F833BA"/>
    <w:rsid w:val="00F84FD0"/>
    <w:rsid w:val="00F859A8"/>
    <w:rsid w:val="00F86D87"/>
    <w:rsid w:val="00F901D4"/>
    <w:rsid w:val="00F9108B"/>
    <w:rsid w:val="00F91349"/>
    <w:rsid w:val="00F93809"/>
    <w:rsid w:val="00F93A33"/>
    <w:rsid w:val="00F93A8A"/>
    <w:rsid w:val="00F95248"/>
    <w:rsid w:val="00F956A9"/>
    <w:rsid w:val="00F963ED"/>
    <w:rsid w:val="00F966CF"/>
    <w:rsid w:val="00F96CAE"/>
    <w:rsid w:val="00F97C99"/>
    <w:rsid w:val="00FA4DAC"/>
    <w:rsid w:val="00FA662D"/>
    <w:rsid w:val="00FA73B1"/>
    <w:rsid w:val="00FB0CB9"/>
    <w:rsid w:val="00FB231D"/>
    <w:rsid w:val="00FB3746"/>
    <w:rsid w:val="00FB45F1"/>
    <w:rsid w:val="00FB4A72"/>
    <w:rsid w:val="00FB54E8"/>
    <w:rsid w:val="00FB7054"/>
    <w:rsid w:val="00FC1054"/>
    <w:rsid w:val="00FC17B7"/>
    <w:rsid w:val="00FC2CB7"/>
    <w:rsid w:val="00FC4090"/>
    <w:rsid w:val="00FC55B4"/>
    <w:rsid w:val="00FD00E6"/>
    <w:rsid w:val="00FD09A1"/>
    <w:rsid w:val="00FD2A7C"/>
    <w:rsid w:val="00FD3E4D"/>
    <w:rsid w:val="00FD4605"/>
    <w:rsid w:val="00FD59EB"/>
    <w:rsid w:val="00FD7299"/>
    <w:rsid w:val="00FE1FBE"/>
    <w:rsid w:val="00FE3901"/>
    <w:rsid w:val="00FE39D3"/>
    <w:rsid w:val="00FE4BCE"/>
    <w:rsid w:val="00FE54AE"/>
    <w:rsid w:val="00FE576A"/>
    <w:rsid w:val="00FE6311"/>
    <w:rsid w:val="00FE7E79"/>
    <w:rsid w:val="00FF3E7D"/>
    <w:rsid w:val="00FF5B99"/>
    <w:rsid w:val="00FF730C"/>
    <w:rsid w:val="00FF73F4"/>
    <w:rsid w:val="00FF7CE4"/>
    <w:rsid w:val="00FF7E39"/>
    <w:rsid w:val="7BADD6A7"/>
    <w:rsid w:val="BBBD714F"/>
    <w:rsid w:val="FBFFA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Date"/>
    <w:basedOn w:val="1"/>
    <w:next w:val="1"/>
    <w:link w:val="241"/>
    <w:semiHidden/>
    <w:unhideWhenUsed/>
    <w:qFormat/>
    <w:uiPriority w:val="99"/>
    <w:pPr>
      <w:adjustRightInd/>
      <w:spacing w:line="240" w:lineRule="auto"/>
      <w:ind w:left="100" w:leftChars="2500"/>
    </w:pPr>
    <w:rPr>
      <w:rFonts w:asciiTheme="minorHAnsi" w:hAnsiTheme="minorHAnsi" w:eastAsiaTheme="minorEastAsia" w:cstheme="minorBidi"/>
      <w:szCs w:val="22"/>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adjustRightInd/>
      <w:spacing w:before="100" w:beforeAutospacing="1" w:after="100" w:afterAutospacing="1" w:line="240" w:lineRule="auto"/>
      <w:jc w:val="left"/>
    </w:pPr>
    <w:rPr>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b/>
      <w:bCs/>
      <w:kern w:val="44"/>
      <w:sz w:val="44"/>
      <w:szCs w:val="44"/>
    </w:rPr>
  </w:style>
  <w:style w:type="character" w:customStyle="1" w:styleId="37">
    <w:name w:val="标题 2 Char"/>
    <w:link w:val="3"/>
    <w:qFormat/>
    <w:uiPriority w:val="0"/>
    <w:rPr>
      <w:rFonts w:ascii="Arial" w:hAnsi="Arial" w:eastAsia="黑体"/>
      <w:b/>
      <w:bCs/>
      <w:kern w:val="2"/>
      <w:sz w:val="32"/>
      <w:szCs w:val="32"/>
    </w:rPr>
  </w:style>
  <w:style w:type="character" w:customStyle="1" w:styleId="38">
    <w:name w:val="标题 3 Char"/>
    <w:link w:val="4"/>
    <w:qFormat/>
    <w:uiPriority w:val="0"/>
    <w:rPr>
      <w:b/>
      <w:bCs/>
      <w:kern w:val="2"/>
      <w:sz w:val="32"/>
      <w:szCs w:val="32"/>
    </w:rPr>
  </w:style>
  <w:style w:type="character" w:customStyle="1" w:styleId="39">
    <w:name w:val="标题 4 Char"/>
    <w:link w:val="5"/>
    <w:qFormat/>
    <w:uiPriority w:val="0"/>
    <w:rPr>
      <w:rFonts w:ascii="Arial" w:hAnsi="Arial" w:eastAsia="黑体"/>
      <w:b/>
      <w:bCs/>
      <w:kern w:val="2"/>
      <w:sz w:val="28"/>
      <w:szCs w:val="28"/>
    </w:rPr>
  </w:style>
  <w:style w:type="character" w:customStyle="1" w:styleId="40">
    <w:name w:val="标题 5 Char"/>
    <w:link w:val="6"/>
    <w:qFormat/>
    <w:uiPriority w:val="0"/>
    <w:rPr>
      <w:b/>
      <w:bCs/>
      <w:kern w:val="2"/>
      <w:sz w:val="28"/>
      <w:szCs w:val="28"/>
    </w:rPr>
  </w:style>
  <w:style w:type="character" w:customStyle="1" w:styleId="41">
    <w:name w:val="标题 6 Char"/>
    <w:link w:val="7"/>
    <w:qFormat/>
    <w:uiPriority w:val="0"/>
    <w:rPr>
      <w:rFonts w:ascii="Arial" w:hAnsi="Arial" w:eastAsia="黑体"/>
      <w:b/>
      <w:bCs/>
      <w:kern w:val="2"/>
      <w:sz w:val="24"/>
      <w:szCs w:val="24"/>
    </w:rPr>
  </w:style>
  <w:style w:type="character" w:customStyle="1" w:styleId="42">
    <w:name w:val="标题 7 Char"/>
    <w:link w:val="8"/>
    <w:qFormat/>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19"/>
    <w:qFormat/>
    <w:uiPriority w:val="99"/>
    <w:rPr>
      <w:kern w:val="2"/>
      <w:sz w:val="18"/>
      <w:szCs w:val="18"/>
    </w:rPr>
  </w:style>
  <w:style w:type="character" w:customStyle="1" w:styleId="46">
    <w:name w:val="页脚 Char"/>
    <w:link w:val="18"/>
    <w:qFormat/>
    <w:uiPriority w:val="99"/>
    <w:rPr>
      <w:rFonts w:ascii="宋体"/>
      <w:kern w:val="2"/>
      <w:sz w:val="18"/>
      <w:szCs w:val="18"/>
    </w:rPr>
  </w:style>
  <w:style w:type="character" w:customStyle="1" w:styleId="47">
    <w:name w:val="批注框文本 Char"/>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left="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3"/>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段"/>
    <w:link w:val="2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3">
    <w:name w:val="段 Char"/>
    <w:link w:val="232"/>
    <w:qFormat/>
    <w:uiPriority w:val="0"/>
    <w:rPr>
      <w:rFonts w:ascii="宋体" w:hAnsi="Times New Roman"/>
      <w:sz w:val="21"/>
    </w:rPr>
  </w:style>
  <w:style w:type="paragraph" w:customStyle="1" w:styleId="234">
    <w:name w:val="一级条标题"/>
    <w:next w:val="232"/>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5">
    <w:name w:val="章标题"/>
    <w:next w:val="232"/>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6">
    <w:name w:val="二级条标题"/>
    <w:basedOn w:val="234"/>
    <w:next w:val="232"/>
    <w:qFormat/>
    <w:uiPriority w:val="0"/>
    <w:pPr>
      <w:numPr>
        <w:ilvl w:val="2"/>
      </w:numPr>
      <w:spacing w:before="50" w:after="50"/>
      <w:outlineLvl w:val="3"/>
    </w:pPr>
  </w:style>
  <w:style w:type="paragraph" w:customStyle="1" w:styleId="237">
    <w:name w:val="三级条标题"/>
    <w:basedOn w:val="236"/>
    <w:next w:val="232"/>
    <w:qFormat/>
    <w:uiPriority w:val="0"/>
    <w:pPr>
      <w:numPr>
        <w:ilvl w:val="3"/>
      </w:numPr>
      <w:outlineLvl w:val="4"/>
    </w:pPr>
  </w:style>
  <w:style w:type="paragraph" w:customStyle="1" w:styleId="238">
    <w:name w:val="四级条标题"/>
    <w:basedOn w:val="237"/>
    <w:next w:val="232"/>
    <w:qFormat/>
    <w:uiPriority w:val="0"/>
    <w:pPr>
      <w:numPr>
        <w:ilvl w:val="4"/>
      </w:numPr>
      <w:outlineLvl w:val="5"/>
    </w:pPr>
  </w:style>
  <w:style w:type="paragraph" w:customStyle="1" w:styleId="239">
    <w:name w:val="五级条标题"/>
    <w:basedOn w:val="238"/>
    <w:next w:val="232"/>
    <w:qFormat/>
    <w:uiPriority w:val="0"/>
    <w:pPr>
      <w:numPr>
        <w:ilvl w:val="5"/>
      </w:numPr>
      <w:outlineLvl w:val="6"/>
    </w:pPr>
  </w:style>
  <w:style w:type="paragraph" w:customStyle="1" w:styleId="240">
    <w:name w:val="正文表标题"/>
    <w:next w:val="232"/>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character" w:customStyle="1" w:styleId="241">
    <w:name w:val="日期 Char"/>
    <w:basedOn w:val="30"/>
    <w:link w:val="16"/>
    <w:semiHidden/>
    <w:qFormat/>
    <w:uiPriority w:val="99"/>
    <w:rPr>
      <w:rFonts w:asciiTheme="minorHAnsi" w:hAnsiTheme="minorHAnsi" w:eastAsiaTheme="minorEastAsia" w:cstheme="minorBidi"/>
      <w:kern w:val="2"/>
      <w:sz w:val="21"/>
      <w:szCs w:val="22"/>
    </w:rPr>
  </w:style>
  <w:style w:type="paragraph" w:customStyle="1" w:styleId="242">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jpeg"/><Relationship Id="rId16" Type="http://schemas.openxmlformats.org/officeDocument/2006/relationships/image" Target="media/image1.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fushunshi/.config/weixin/wechat/users/wxid_5992429924512/message/cache/9e20f478899dc29eb19741386f9343c8/opendata/2023-10/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C605DA45A264B91A6ECC23F4DE41A38"/>
        <w:style w:val=""/>
        <w:category>
          <w:name w:val="常规"/>
          <w:gallery w:val="placeholder"/>
        </w:category>
        <w:types>
          <w:type w:val="bbPlcHdr"/>
        </w:types>
        <w:behaviors>
          <w:behavior w:val="content"/>
        </w:behaviors>
        <w:description w:val=""/>
        <w:guid w:val="{142DEE2E-A424-4179-BD77-C77A21DD012A}"/>
      </w:docPartPr>
      <w:docPartBody>
        <w:p>
          <w:pPr>
            <w:pStyle w:val="5"/>
          </w:pPr>
          <w:r>
            <w:rPr>
              <w:rStyle w:val="4"/>
              <w:rFonts w:hint="eastAsia"/>
            </w:rPr>
            <w:t>单击或点击此处输入文字。</w:t>
          </w:r>
        </w:p>
      </w:docPartBody>
    </w:docPart>
    <w:docPart>
      <w:docPartPr>
        <w:name w:val="8C5CA7F1F6CF4664AD571A8DD4B6B0FB"/>
        <w:style w:val=""/>
        <w:category>
          <w:name w:val="常规"/>
          <w:gallery w:val="placeholder"/>
        </w:category>
        <w:types>
          <w:type w:val="bbPlcHdr"/>
        </w:types>
        <w:behaviors>
          <w:behavior w:val="content"/>
        </w:behaviors>
        <w:description w:val=""/>
        <w:guid w:val="{8C533EC5-7363-482B-B473-CAD468595C4B}"/>
      </w:docPartPr>
      <w:docPartBody>
        <w:p>
          <w:pPr>
            <w:pStyle w:val="6"/>
          </w:pPr>
          <w:r>
            <w:rPr>
              <w:rStyle w:val="4"/>
              <w:rFonts w:hint="eastAsia"/>
            </w:rPr>
            <w:t>选择一项。</w:t>
          </w:r>
        </w:p>
      </w:docPartBody>
    </w:docPart>
    <w:docPart>
      <w:docPartPr>
        <w:name w:val="CC3E433871BA46B69262601DAB8CB350"/>
        <w:style w:val=""/>
        <w:category>
          <w:name w:val="常规"/>
          <w:gallery w:val="placeholder"/>
        </w:category>
        <w:types>
          <w:type w:val="bbPlcHdr"/>
        </w:types>
        <w:behaviors>
          <w:behavior w:val="content"/>
        </w:behaviors>
        <w:description w:val=""/>
        <w:guid w:val="{78B46898-01A8-4E1B-AAB0-A9CBF2A718B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仿宋"/>
    <w:panose1 w:val="00000000000000000000"/>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877"/>
    <w:rsid w:val="000F6A0B"/>
    <w:rsid w:val="002B34A4"/>
    <w:rsid w:val="00325BEC"/>
    <w:rsid w:val="003D3CEE"/>
    <w:rsid w:val="004902A4"/>
    <w:rsid w:val="004F5494"/>
    <w:rsid w:val="00570FF1"/>
    <w:rsid w:val="00660A6F"/>
    <w:rsid w:val="00705877"/>
    <w:rsid w:val="007132FD"/>
    <w:rsid w:val="00782035"/>
    <w:rsid w:val="008B13AB"/>
    <w:rsid w:val="008F6194"/>
    <w:rsid w:val="0094304B"/>
    <w:rsid w:val="00AA7414"/>
    <w:rsid w:val="00AB57EC"/>
    <w:rsid w:val="00B738EA"/>
    <w:rsid w:val="00BC58CF"/>
    <w:rsid w:val="00CD266D"/>
    <w:rsid w:val="00DD4496"/>
    <w:rsid w:val="00E82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C605DA45A264B91A6ECC23F4DE41A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C5CA7F1F6CF4664AD571A8DD4B6B0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C3E433871BA46B69262601DAB8CB35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Pages>
  <Words>587</Words>
  <Characters>3347</Characters>
  <Lines>27</Lines>
  <Paragraphs>7</Paragraphs>
  <TotalTime>41</TotalTime>
  <ScaleCrop>false</ScaleCrop>
  <LinksUpToDate>false</LinksUpToDate>
  <CharactersWithSpaces>3927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2023-10-10T17:07:00Z</dcterms:created>
  <dc:creator>一位不愿透露姓名的热心群众</dc:creator>
  <cp:lastModifiedBy>fushunshi</cp:lastModifiedBy>
  <cp:lastPrinted>2023-10-26T17:44:00Z</cp:lastPrinted>
  <dcterms:modified xsi:type="dcterms:W3CDTF">2023-10-27T14:51:54Z</dcterms:modified>
  <dc:title>地方标准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2052-11.8.2.10125</vt:lpwstr>
  </property>
</Properties>
</file>